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BD88" w14:textId="77777777" w:rsidR="00910B80" w:rsidRDefault="00910B80" w:rsidP="007B19B9">
      <w:pPr>
        <w:spacing w:line="360" w:lineRule="auto"/>
        <w:jc w:val="center"/>
        <w:rPr>
          <w:b/>
        </w:rPr>
      </w:pPr>
      <w:bookmarkStart w:id="0" w:name="_Toc477873898"/>
    </w:p>
    <w:p w14:paraId="24F35117" w14:textId="77777777" w:rsidR="007B19B9" w:rsidRPr="007B19B9" w:rsidRDefault="007B19B9" w:rsidP="007B19B9">
      <w:pPr>
        <w:spacing w:line="360" w:lineRule="auto"/>
        <w:jc w:val="center"/>
        <w:rPr>
          <w:b/>
        </w:rPr>
      </w:pPr>
      <w:r w:rsidRPr="007B19B9">
        <w:rPr>
          <w:b/>
          <w:noProof/>
        </w:rPr>
        <w:drawing>
          <wp:inline distT="0" distB="0" distL="0" distR="0" wp14:anchorId="6D619C50" wp14:editId="54B69987">
            <wp:extent cx="2043975" cy="540000"/>
            <wp:effectExtent l="0" t="0" r="0" b="0"/>
            <wp:docPr id="1"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rsidRPr="007B19B9">
        <w:rPr>
          <w:b/>
        </w:rPr>
        <w:t xml:space="preserve">       </w:t>
      </w:r>
      <w:r w:rsidRPr="007B19B9">
        <w:rPr>
          <w:b/>
          <w:noProof/>
        </w:rPr>
        <w:drawing>
          <wp:inline distT="0" distB="0" distL="0" distR="0" wp14:anchorId="7C2CC29B" wp14:editId="5C32AA18">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257A9A7A" w14:textId="77777777" w:rsidR="007B19B9" w:rsidRPr="007B19B9" w:rsidRDefault="007B19B9" w:rsidP="007B19B9">
      <w:pPr>
        <w:spacing w:line="360" w:lineRule="auto"/>
        <w:jc w:val="center"/>
        <w:rPr>
          <w:b/>
        </w:rPr>
      </w:pPr>
      <w:r w:rsidRPr="007B19B9">
        <w:rPr>
          <w:b/>
          <w:noProof/>
        </w:rPr>
        <w:drawing>
          <wp:inline distT="0" distB="0" distL="0" distR="0" wp14:anchorId="1EB4493E" wp14:editId="056A7FEE">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rsidRPr="007B19B9">
        <w:rPr>
          <w:b/>
        </w:rPr>
        <w:t xml:space="preserve">      </w:t>
      </w:r>
      <w:r w:rsidRPr="007B19B9">
        <w:rPr>
          <w:b/>
          <w:noProof/>
        </w:rPr>
        <w:drawing>
          <wp:inline distT="0" distB="0" distL="0" distR="0" wp14:anchorId="61BA8DF9" wp14:editId="4CE5725B">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rsidRPr="007B19B9">
        <w:rPr>
          <w:b/>
        </w:rPr>
        <w:t xml:space="preserve">     </w:t>
      </w:r>
      <w:r w:rsidRPr="007B19B9">
        <w:rPr>
          <w:b/>
          <w:noProof/>
        </w:rPr>
        <w:drawing>
          <wp:inline distT="0" distB="0" distL="0" distR="0" wp14:anchorId="1960F24A" wp14:editId="373BC392">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6B84F9DB" w14:textId="77777777" w:rsidR="007B19B9" w:rsidRPr="007B19B9" w:rsidRDefault="007B19B9" w:rsidP="007B19B9"/>
    <w:p w14:paraId="677247F5" w14:textId="77777777" w:rsidR="007B19B9" w:rsidRPr="007B19B9" w:rsidRDefault="007B19B9" w:rsidP="007B19B9"/>
    <w:p w14:paraId="263F7685" w14:textId="77777777" w:rsidR="007B19B9" w:rsidRPr="007B19B9" w:rsidRDefault="007B19B9" w:rsidP="007B19B9"/>
    <w:p w14:paraId="6BB29119" w14:textId="77777777" w:rsidR="007B19B9" w:rsidRPr="007B19B9" w:rsidRDefault="007B19B9" w:rsidP="007B19B9"/>
    <w:p w14:paraId="3C75628B" w14:textId="4A63359F" w:rsidR="007B19B9" w:rsidRPr="007B19B9" w:rsidRDefault="003153ED" w:rsidP="007B19B9">
      <w:pPr>
        <w:pStyle w:val="Titel"/>
        <w:jc w:val="center"/>
      </w:pPr>
      <w:r>
        <w:t>Grundlagen</w:t>
      </w:r>
      <w:r>
        <w:br/>
      </w:r>
      <w:r w:rsidR="007B19B9" w:rsidRPr="007B19B9">
        <w:t>Verzeichnis von Verarbeitungstätigkeiten des Verantwortlichen</w:t>
      </w:r>
    </w:p>
    <w:p w14:paraId="7E524F13" w14:textId="77777777" w:rsidR="007B19B9" w:rsidRPr="007B19B9" w:rsidRDefault="007B19B9" w:rsidP="007B19B9"/>
    <w:p w14:paraId="36B09147" w14:textId="77777777" w:rsidR="007B19B9" w:rsidRDefault="007B19B9" w:rsidP="007B19B9"/>
    <w:p w14:paraId="320117C9" w14:textId="29BCF126" w:rsidR="00910B80" w:rsidRDefault="00910B80" w:rsidP="007B19B9"/>
    <w:p w14:paraId="6A2F0AC4" w14:textId="77777777" w:rsidR="00910B80" w:rsidRPr="007B19B9" w:rsidRDefault="00910B80" w:rsidP="007B19B9"/>
    <w:p w14:paraId="2EC2108F" w14:textId="77777777" w:rsidR="007B19B9" w:rsidRPr="007B19B9" w:rsidRDefault="007B19B9" w:rsidP="007B19B9"/>
    <w:p w14:paraId="66020787" w14:textId="3A50D75F" w:rsidR="007B19B9" w:rsidRPr="003153ED" w:rsidRDefault="007B19B9" w:rsidP="007B19B9">
      <w:pPr>
        <w:spacing w:line="360" w:lineRule="auto"/>
        <w:jc w:val="center"/>
        <w:rPr>
          <w:b/>
        </w:rPr>
      </w:pPr>
      <w:r w:rsidRPr="007B19B9">
        <w:rPr>
          <w:b/>
        </w:rPr>
        <w:t xml:space="preserve">Version 1.0, </w:t>
      </w:r>
      <w:r w:rsidR="003153ED" w:rsidRPr="003153ED">
        <w:rPr>
          <w:b/>
        </w:rPr>
        <w:t>27.11.2018</w:t>
      </w:r>
    </w:p>
    <w:p w14:paraId="76E7AE1E" w14:textId="77777777" w:rsidR="007B19B9" w:rsidRDefault="007B19B9" w:rsidP="007B19B9"/>
    <w:p w14:paraId="404768F3" w14:textId="229118C7" w:rsidR="00910B80" w:rsidRDefault="00910B80" w:rsidP="007B19B9"/>
    <w:p w14:paraId="7CECC6BC" w14:textId="77777777" w:rsidR="00910B80" w:rsidRPr="007B19B9" w:rsidRDefault="00910B80" w:rsidP="007B19B9"/>
    <w:p w14:paraId="310F9A34" w14:textId="77777777" w:rsidR="007B19B9" w:rsidRPr="007B19B9" w:rsidRDefault="007B19B9" w:rsidP="007B19B9"/>
    <w:p w14:paraId="0287A022" w14:textId="77777777" w:rsidR="00910B80" w:rsidRDefault="007B19B9" w:rsidP="007B19B9">
      <w:r w:rsidRPr="007B19B9">
        <w:t>Die Nutzung dieses Dokuments ist zulässig unter der Lizenz CC BY-SA 3.0  </w:t>
      </w:r>
      <w:r w:rsidRPr="007B19B9">
        <w:br/>
      </w:r>
      <w:hyperlink r:id="rId17" w:history="1">
        <w:r w:rsidRPr="007B19B9">
          <w:rPr>
            <w:rStyle w:val="Hyperlink"/>
            <w:b/>
          </w:rPr>
          <w:t>https://creativecommons.org/licenses/by-sa/3.0/de/legalcode</w:t>
        </w:r>
      </w:hyperlink>
      <w:r w:rsidRPr="007B19B9">
        <w:t xml:space="preserve">  </w:t>
      </w:r>
      <w:r w:rsidRPr="007B19B9">
        <w:br/>
        <w:t>Autor: NRW Projektgruppe „Umsetzung der EU-Datenschutz-Grundverordnung (EU-DSGVO) −</w:t>
      </w:r>
      <w:r w:rsidRPr="007B19B9">
        <w:br/>
        <w:t>Datenschutzmanagementsysteme“ 2018</w:t>
      </w:r>
    </w:p>
    <w:p w14:paraId="384248D4" w14:textId="77777777" w:rsidR="00910B80" w:rsidRDefault="00910B80" w:rsidP="007B19B9"/>
    <w:p w14:paraId="61F0B79B" w14:textId="77777777" w:rsidR="00910B80" w:rsidRDefault="00910B80" w:rsidP="007B19B9"/>
    <w:p w14:paraId="5596CE9F" w14:textId="77777777" w:rsidR="00910B80" w:rsidRDefault="00910B80" w:rsidP="007B19B9"/>
    <w:p w14:paraId="15819CB4" w14:textId="77777777" w:rsidR="00910B80" w:rsidRDefault="00910B80" w:rsidP="007B19B9"/>
    <w:p w14:paraId="2865714B" w14:textId="77777777" w:rsidR="00910B80" w:rsidRDefault="00910B80" w:rsidP="007B19B9"/>
    <w:p w14:paraId="56B82429" w14:textId="77777777" w:rsidR="00910B80" w:rsidRDefault="00910B80" w:rsidP="007B19B9">
      <w:bookmarkStart w:id="1" w:name="_GoBack"/>
      <w:bookmarkEnd w:id="1"/>
    </w:p>
    <w:p w14:paraId="6F85718A" w14:textId="6AC09B82" w:rsidR="007B19B9" w:rsidRPr="007B19B9" w:rsidRDefault="00910B80" w:rsidP="00910B80">
      <w:pPr>
        <w:jc w:val="right"/>
        <w:rPr>
          <w:b/>
        </w:rPr>
      </w:pPr>
      <w:r>
        <w:rPr>
          <w:rFonts w:ascii="Calibri" w:eastAsia="Calibri" w:hAnsi="Calibri"/>
        </w:rPr>
        <w:t xml:space="preserve">gefördert vom       </w:t>
      </w:r>
      <w:r w:rsidRPr="008F5331">
        <w:rPr>
          <w:rFonts w:ascii="Calibri" w:eastAsia="Calibri" w:hAnsi="Calibri"/>
          <w:noProof/>
        </w:rPr>
        <w:drawing>
          <wp:inline distT="0" distB="0" distL="0" distR="0" wp14:anchorId="7A1AC122" wp14:editId="6F703FAB">
            <wp:extent cx="1974127" cy="40445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4300" cy="408589"/>
                    </a:xfrm>
                    <a:prstGeom prst="rect">
                      <a:avLst/>
                    </a:prstGeom>
                    <a:noFill/>
                    <a:ln>
                      <a:noFill/>
                    </a:ln>
                    <a:extLst/>
                  </pic:spPr>
                </pic:pic>
              </a:graphicData>
            </a:graphic>
          </wp:inline>
        </w:drawing>
      </w:r>
      <w:r w:rsidR="007B19B9" w:rsidRPr="007B19B9">
        <w:rPr>
          <w:b/>
        </w:rPr>
        <w:br w:type="page"/>
      </w:r>
    </w:p>
    <w:sdt>
      <w:sdtPr>
        <w:rPr>
          <w:rFonts w:ascii="Times New Roman" w:eastAsia="Times New Roman" w:hAnsi="Times New Roman" w:cs="Times New Roman"/>
          <w:color w:val="auto"/>
          <w:sz w:val="24"/>
          <w:szCs w:val="24"/>
        </w:rPr>
        <w:id w:val="-1258133993"/>
        <w:docPartObj>
          <w:docPartGallery w:val="Table of Contents"/>
          <w:docPartUnique/>
        </w:docPartObj>
      </w:sdtPr>
      <w:sdtEndPr>
        <w:rPr>
          <w:b/>
          <w:bCs/>
        </w:rPr>
      </w:sdtEndPr>
      <w:sdtContent>
        <w:p w14:paraId="0F15A2DE" w14:textId="77777777" w:rsidR="00285EAF" w:rsidRPr="00285EAF" w:rsidRDefault="00285EAF">
          <w:pPr>
            <w:pStyle w:val="Inhaltsverzeichnisberschrift"/>
            <w:rPr>
              <w:rFonts w:ascii="Times New Roman" w:hAnsi="Times New Roman" w:cs="Times New Roman"/>
              <w:b/>
              <w:color w:val="auto"/>
            </w:rPr>
          </w:pPr>
          <w:r w:rsidRPr="00285EAF">
            <w:rPr>
              <w:rFonts w:ascii="Times New Roman" w:hAnsi="Times New Roman" w:cs="Times New Roman"/>
              <w:b/>
              <w:color w:val="auto"/>
            </w:rPr>
            <w:t>Inhaltsverzeichnis</w:t>
          </w:r>
        </w:p>
        <w:p w14:paraId="1AB31717" w14:textId="77777777" w:rsidR="007B19B9" w:rsidRDefault="00285EAF">
          <w:pPr>
            <w:pStyle w:val="Verzeichnis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42975" w:history="1">
            <w:r w:rsidR="007B19B9" w:rsidRPr="00224117">
              <w:rPr>
                <w:rStyle w:val="Hyperlink"/>
                <w:b/>
                <w:noProof/>
              </w:rPr>
              <w:t>Prolog</w:t>
            </w:r>
            <w:r w:rsidR="007B19B9">
              <w:rPr>
                <w:noProof/>
                <w:webHidden/>
              </w:rPr>
              <w:tab/>
            </w:r>
            <w:r w:rsidR="007B19B9">
              <w:rPr>
                <w:noProof/>
                <w:webHidden/>
              </w:rPr>
              <w:fldChar w:fldCharType="begin"/>
            </w:r>
            <w:r w:rsidR="007B19B9">
              <w:rPr>
                <w:noProof/>
                <w:webHidden/>
              </w:rPr>
              <w:instrText xml:space="preserve"> PAGEREF _Toc1742975 \h </w:instrText>
            </w:r>
            <w:r w:rsidR="007B19B9">
              <w:rPr>
                <w:noProof/>
                <w:webHidden/>
              </w:rPr>
            </w:r>
            <w:r w:rsidR="007B19B9">
              <w:rPr>
                <w:noProof/>
                <w:webHidden/>
              </w:rPr>
              <w:fldChar w:fldCharType="separate"/>
            </w:r>
            <w:r w:rsidR="007B19B9">
              <w:rPr>
                <w:noProof/>
                <w:webHidden/>
              </w:rPr>
              <w:t>2</w:t>
            </w:r>
            <w:r w:rsidR="007B19B9">
              <w:rPr>
                <w:noProof/>
                <w:webHidden/>
              </w:rPr>
              <w:fldChar w:fldCharType="end"/>
            </w:r>
          </w:hyperlink>
        </w:p>
        <w:p w14:paraId="63899044" w14:textId="77777777" w:rsidR="007B19B9" w:rsidRDefault="00910B80">
          <w:pPr>
            <w:pStyle w:val="Verzeichnis2"/>
            <w:rPr>
              <w:rFonts w:asciiTheme="minorHAnsi" w:eastAsiaTheme="minorEastAsia" w:hAnsiTheme="minorHAnsi" w:cstheme="minorBidi"/>
              <w:noProof/>
              <w:sz w:val="22"/>
              <w:szCs w:val="22"/>
            </w:rPr>
          </w:pPr>
          <w:hyperlink w:anchor="_Toc1742976" w:history="1">
            <w:r w:rsidR="007B19B9" w:rsidRPr="00224117">
              <w:rPr>
                <w:rStyle w:val="Hyperlink"/>
                <w:b/>
                <w:noProof/>
              </w:rPr>
              <w:t>Verpflichtete</w:t>
            </w:r>
            <w:r w:rsidR="007B19B9">
              <w:rPr>
                <w:noProof/>
                <w:webHidden/>
              </w:rPr>
              <w:tab/>
            </w:r>
            <w:r w:rsidR="007B19B9">
              <w:rPr>
                <w:noProof/>
                <w:webHidden/>
              </w:rPr>
              <w:fldChar w:fldCharType="begin"/>
            </w:r>
            <w:r w:rsidR="007B19B9">
              <w:rPr>
                <w:noProof/>
                <w:webHidden/>
              </w:rPr>
              <w:instrText xml:space="preserve"> PAGEREF _Toc1742976 \h </w:instrText>
            </w:r>
            <w:r w:rsidR="007B19B9">
              <w:rPr>
                <w:noProof/>
                <w:webHidden/>
              </w:rPr>
            </w:r>
            <w:r w:rsidR="007B19B9">
              <w:rPr>
                <w:noProof/>
                <w:webHidden/>
              </w:rPr>
              <w:fldChar w:fldCharType="separate"/>
            </w:r>
            <w:r w:rsidR="007B19B9">
              <w:rPr>
                <w:noProof/>
                <w:webHidden/>
              </w:rPr>
              <w:t>2</w:t>
            </w:r>
            <w:r w:rsidR="007B19B9">
              <w:rPr>
                <w:noProof/>
                <w:webHidden/>
              </w:rPr>
              <w:fldChar w:fldCharType="end"/>
            </w:r>
          </w:hyperlink>
        </w:p>
        <w:p w14:paraId="2F706269" w14:textId="77777777" w:rsidR="007B19B9" w:rsidRDefault="00910B80">
          <w:pPr>
            <w:pStyle w:val="Verzeichnis2"/>
            <w:rPr>
              <w:rFonts w:asciiTheme="minorHAnsi" w:eastAsiaTheme="minorEastAsia" w:hAnsiTheme="minorHAnsi" w:cstheme="minorBidi"/>
              <w:noProof/>
              <w:sz w:val="22"/>
              <w:szCs w:val="22"/>
            </w:rPr>
          </w:pPr>
          <w:hyperlink w:anchor="_Toc1742977" w:history="1">
            <w:r w:rsidR="007B19B9" w:rsidRPr="00224117">
              <w:rPr>
                <w:rStyle w:val="Hyperlink"/>
                <w:b/>
                <w:noProof/>
              </w:rPr>
              <w:t>Spezifische Bedingungen an Hochschulen</w:t>
            </w:r>
            <w:r w:rsidR="007B19B9">
              <w:rPr>
                <w:noProof/>
                <w:webHidden/>
              </w:rPr>
              <w:tab/>
            </w:r>
            <w:r w:rsidR="007B19B9">
              <w:rPr>
                <w:noProof/>
                <w:webHidden/>
              </w:rPr>
              <w:fldChar w:fldCharType="begin"/>
            </w:r>
            <w:r w:rsidR="007B19B9">
              <w:rPr>
                <w:noProof/>
                <w:webHidden/>
              </w:rPr>
              <w:instrText xml:space="preserve"> PAGEREF _Toc1742977 \h </w:instrText>
            </w:r>
            <w:r w:rsidR="007B19B9">
              <w:rPr>
                <w:noProof/>
                <w:webHidden/>
              </w:rPr>
            </w:r>
            <w:r w:rsidR="007B19B9">
              <w:rPr>
                <w:noProof/>
                <w:webHidden/>
              </w:rPr>
              <w:fldChar w:fldCharType="separate"/>
            </w:r>
            <w:r w:rsidR="007B19B9">
              <w:rPr>
                <w:noProof/>
                <w:webHidden/>
              </w:rPr>
              <w:t>3</w:t>
            </w:r>
            <w:r w:rsidR="007B19B9">
              <w:rPr>
                <w:noProof/>
                <w:webHidden/>
              </w:rPr>
              <w:fldChar w:fldCharType="end"/>
            </w:r>
          </w:hyperlink>
        </w:p>
        <w:p w14:paraId="057C2A98" w14:textId="77777777" w:rsidR="007B19B9" w:rsidRDefault="00910B80">
          <w:pPr>
            <w:pStyle w:val="Verzeichnis2"/>
            <w:rPr>
              <w:rFonts w:asciiTheme="minorHAnsi" w:eastAsiaTheme="minorEastAsia" w:hAnsiTheme="minorHAnsi" w:cstheme="minorBidi"/>
              <w:noProof/>
              <w:sz w:val="22"/>
              <w:szCs w:val="22"/>
            </w:rPr>
          </w:pPr>
          <w:hyperlink w:anchor="_Toc1742978" w:history="1">
            <w:r w:rsidR="007B19B9" w:rsidRPr="00224117">
              <w:rPr>
                <w:rStyle w:val="Hyperlink"/>
                <w:b/>
                <w:noProof/>
              </w:rPr>
              <w:t>Formale Anforderungen</w:t>
            </w:r>
            <w:r w:rsidR="007B19B9">
              <w:rPr>
                <w:noProof/>
                <w:webHidden/>
              </w:rPr>
              <w:tab/>
            </w:r>
            <w:r w:rsidR="007B19B9">
              <w:rPr>
                <w:noProof/>
                <w:webHidden/>
              </w:rPr>
              <w:fldChar w:fldCharType="begin"/>
            </w:r>
            <w:r w:rsidR="007B19B9">
              <w:rPr>
                <w:noProof/>
                <w:webHidden/>
              </w:rPr>
              <w:instrText xml:space="preserve"> PAGEREF _Toc1742978 \h </w:instrText>
            </w:r>
            <w:r w:rsidR="007B19B9">
              <w:rPr>
                <w:noProof/>
                <w:webHidden/>
              </w:rPr>
            </w:r>
            <w:r w:rsidR="007B19B9">
              <w:rPr>
                <w:noProof/>
                <w:webHidden/>
              </w:rPr>
              <w:fldChar w:fldCharType="separate"/>
            </w:r>
            <w:r w:rsidR="007B19B9">
              <w:rPr>
                <w:noProof/>
                <w:webHidden/>
              </w:rPr>
              <w:t>4</w:t>
            </w:r>
            <w:r w:rsidR="007B19B9">
              <w:rPr>
                <w:noProof/>
                <w:webHidden/>
              </w:rPr>
              <w:fldChar w:fldCharType="end"/>
            </w:r>
          </w:hyperlink>
        </w:p>
        <w:p w14:paraId="077AB189" w14:textId="77777777" w:rsidR="007B19B9" w:rsidRDefault="00910B80">
          <w:pPr>
            <w:pStyle w:val="Verzeichnis2"/>
            <w:rPr>
              <w:rFonts w:asciiTheme="minorHAnsi" w:eastAsiaTheme="minorEastAsia" w:hAnsiTheme="minorHAnsi" w:cstheme="minorBidi"/>
              <w:noProof/>
              <w:sz w:val="22"/>
              <w:szCs w:val="22"/>
            </w:rPr>
          </w:pPr>
          <w:hyperlink w:anchor="_Toc1742979" w:history="1">
            <w:r w:rsidR="007B19B9" w:rsidRPr="00224117">
              <w:rPr>
                <w:rStyle w:val="Hyperlink"/>
                <w:b/>
                <w:noProof/>
              </w:rPr>
              <w:t>Inhalte</w:t>
            </w:r>
            <w:r w:rsidR="007B19B9">
              <w:rPr>
                <w:noProof/>
                <w:webHidden/>
              </w:rPr>
              <w:tab/>
            </w:r>
            <w:r w:rsidR="007B19B9">
              <w:rPr>
                <w:noProof/>
                <w:webHidden/>
              </w:rPr>
              <w:fldChar w:fldCharType="begin"/>
            </w:r>
            <w:r w:rsidR="007B19B9">
              <w:rPr>
                <w:noProof/>
                <w:webHidden/>
              </w:rPr>
              <w:instrText xml:space="preserve"> PAGEREF _Toc1742979 \h </w:instrText>
            </w:r>
            <w:r w:rsidR="007B19B9">
              <w:rPr>
                <w:noProof/>
                <w:webHidden/>
              </w:rPr>
            </w:r>
            <w:r w:rsidR="007B19B9">
              <w:rPr>
                <w:noProof/>
                <w:webHidden/>
              </w:rPr>
              <w:fldChar w:fldCharType="separate"/>
            </w:r>
            <w:r w:rsidR="007B19B9">
              <w:rPr>
                <w:noProof/>
                <w:webHidden/>
              </w:rPr>
              <w:t>4</w:t>
            </w:r>
            <w:r w:rsidR="007B19B9">
              <w:rPr>
                <w:noProof/>
                <w:webHidden/>
              </w:rPr>
              <w:fldChar w:fldCharType="end"/>
            </w:r>
          </w:hyperlink>
        </w:p>
        <w:p w14:paraId="08F97D9C" w14:textId="77777777" w:rsidR="007B19B9" w:rsidRDefault="00910B80">
          <w:pPr>
            <w:pStyle w:val="Verzeichnis2"/>
            <w:rPr>
              <w:rFonts w:asciiTheme="minorHAnsi" w:eastAsiaTheme="minorEastAsia" w:hAnsiTheme="minorHAnsi" w:cstheme="minorBidi"/>
              <w:noProof/>
              <w:sz w:val="22"/>
              <w:szCs w:val="22"/>
            </w:rPr>
          </w:pPr>
          <w:hyperlink w:anchor="_Toc1742980" w:history="1">
            <w:r w:rsidR="007B19B9" w:rsidRPr="00224117">
              <w:rPr>
                <w:rStyle w:val="Hyperlink"/>
                <w:b/>
                <w:noProof/>
              </w:rPr>
              <w:t>Rechtsfolgen bei Datenschutzverstößen: Sanktionen u.a.</w:t>
            </w:r>
            <w:r w:rsidR="007B19B9">
              <w:rPr>
                <w:noProof/>
                <w:webHidden/>
              </w:rPr>
              <w:tab/>
            </w:r>
            <w:r w:rsidR="007B19B9">
              <w:rPr>
                <w:noProof/>
                <w:webHidden/>
              </w:rPr>
              <w:fldChar w:fldCharType="begin"/>
            </w:r>
            <w:r w:rsidR="007B19B9">
              <w:rPr>
                <w:noProof/>
                <w:webHidden/>
              </w:rPr>
              <w:instrText xml:space="preserve"> PAGEREF _Toc1742980 \h </w:instrText>
            </w:r>
            <w:r w:rsidR="007B19B9">
              <w:rPr>
                <w:noProof/>
                <w:webHidden/>
              </w:rPr>
            </w:r>
            <w:r w:rsidR="007B19B9">
              <w:rPr>
                <w:noProof/>
                <w:webHidden/>
              </w:rPr>
              <w:fldChar w:fldCharType="separate"/>
            </w:r>
            <w:r w:rsidR="007B19B9">
              <w:rPr>
                <w:noProof/>
                <w:webHidden/>
              </w:rPr>
              <w:t>9</w:t>
            </w:r>
            <w:r w:rsidR="007B19B9">
              <w:rPr>
                <w:noProof/>
                <w:webHidden/>
              </w:rPr>
              <w:fldChar w:fldCharType="end"/>
            </w:r>
          </w:hyperlink>
        </w:p>
        <w:p w14:paraId="015617D0" w14:textId="77777777" w:rsidR="00285EAF" w:rsidRDefault="00285EAF">
          <w:r>
            <w:rPr>
              <w:b/>
              <w:bCs/>
            </w:rPr>
            <w:fldChar w:fldCharType="end"/>
          </w:r>
        </w:p>
      </w:sdtContent>
    </w:sdt>
    <w:p w14:paraId="473E2CC1" w14:textId="77777777" w:rsidR="00AF5CB0" w:rsidRPr="00285EAF" w:rsidRDefault="00AF5CB0" w:rsidP="00285EAF">
      <w:pPr>
        <w:pStyle w:val="berschrift2"/>
        <w:rPr>
          <w:rFonts w:ascii="Times New Roman" w:hAnsi="Times New Roman" w:cs="Times New Roman"/>
          <w:b/>
          <w:color w:val="auto"/>
          <w:sz w:val="24"/>
          <w:szCs w:val="24"/>
        </w:rPr>
      </w:pPr>
      <w:bookmarkStart w:id="2" w:name="_Toc1742975"/>
      <w:bookmarkStart w:id="3" w:name="_Toc477873899"/>
      <w:bookmarkEnd w:id="0"/>
      <w:r w:rsidRPr="00285EAF">
        <w:rPr>
          <w:rFonts w:ascii="Times New Roman" w:hAnsi="Times New Roman" w:cs="Times New Roman"/>
          <w:b/>
          <w:color w:val="auto"/>
          <w:sz w:val="24"/>
          <w:szCs w:val="24"/>
        </w:rPr>
        <w:t>Prolog</w:t>
      </w:r>
      <w:bookmarkEnd w:id="2"/>
    </w:p>
    <w:p w14:paraId="56308797" w14:textId="77777777" w:rsidR="00AF5CB0" w:rsidRPr="00AF5CB0" w:rsidRDefault="00AF5CB0" w:rsidP="00AF5CB0">
      <w:pPr>
        <w:spacing w:after="200" w:line="360" w:lineRule="auto"/>
        <w:jc w:val="both"/>
      </w:pPr>
      <w:r w:rsidRPr="00AF5CB0">
        <w:t>Die</w:t>
      </w:r>
      <w:r w:rsidR="00D636A7">
        <w:t xml:space="preserve"> Datenschutz-Grundverordnung</w:t>
      </w:r>
      <w:r w:rsidR="00D636A7">
        <w:rPr>
          <w:rStyle w:val="Funotenzeichen"/>
        </w:rPr>
        <w:footnoteReference w:id="1"/>
      </w:r>
      <w:r w:rsidR="00D636A7">
        <w:t xml:space="preserve"> (</w:t>
      </w:r>
      <w:r w:rsidRPr="00AF5CB0">
        <w:t>DS-GVO</w:t>
      </w:r>
      <w:r w:rsidR="00D636A7">
        <w:t>)</w:t>
      </w:r>
      <w:r w:rsidRPr="00AF5CB0">
        <w:t xml:space="preserve"> sieht „zum Nachweis der Einhaltung dieser Verordnung“</w:t>
      </w:r>
      <w:r w:rsidRPr="00AF5CB0">
        <w:rPr>
          <w:rStyle w:val="Funotenzeichen"/>
        </w:rPr>
        <w:footnoteReference w:id="2"/>
      </w:r>
      <w:r w:rsidRPr="00AF5CB0">
        <w:t xml:space="preserve"> ebenso wie die </w:t>
      </w:r>
      <w:r w:rsidR="00AD3A0E">
        <w:t xml:space="preserve">bisher geltende </w:t>
      </w:r>
      <w:r w:rsidR="00D636A7">
        <w:t>EG-Datenschutzrichtlinie</w:t>
      </w:r>
      <w:r w:rsidR="00D636A7">
        <w:rPr>
          <w:rStyle w:val="Funotenzeichen"/>
        </w:rPr>
        <w:footnoteReference w:id="3"/>
      </w:r>
      <w:r w:rsidR="00D636A7">
        <w:t xml:space="preserve"> (</w:t>
      </w:r>
      <w:r w:rsidRPr="00AF5CB0">
        <w:t>EG-DSRL</w:t>
      </w:r>
      <w:r w:rsidR="00D636A7">
        <w:t>)</w:t>
      </w:r>
      <w:r w:rsidRPr="00AF5CB0">
        <w:t xml:space="preserve"> und</w:t>
      </w:r>
      <w:r w:rsidR="00AD3A0E">
        <w:t xml:space="preserve"> ihre Umsetzungen im einzelstaatlichen Recht</w:t>
      </w:r>
      <w:r w:rsidRPr="00AF5CB0">
        <w:rPr>
          <w:rStyle w:val="Funotenzeichen"/>
        </w:rPr>
        <w:footnoteReference w:id="4"/>
      </w:r>
      <w:r w:rsidRPr="00AF5CB0">
        <w:t xml:space="preserve"> ein Verzeichnis der Verarbeitungstätigkeiten</w:t>
      </w:r>
      <w:r w:rsidR="00EE0300">
        <w:t xml:space="preserve"> (VVT)</w:t>
      </w:r>
      <w:r w:rsidRPr="00AF5CB0">
        <w:t xml:space="preserve"> </w:t>
      </w:r>
      <w:r w:rsidR="00993E6B">
        <w:t xml:space="preserve">bzw. ein Verfahrensverzeichnis </w:t>
      </w:r>
      <w:r w:rsidRPr="00AF5CB0">
        <w:t xml:space="preserve">vor. Dabei handelt es sich um eine spezielle </w:t>
      </w:r>
      <w:r w:rsidR="00993E6B">
        <w:t xml:space="preserve">und explizite </w:t>
      </w:r>
      <w:r w:rsidRPr="00AF5CB0">
        <w:t>Dokumentationspflicht des Verantwortlichen, welche die umfassenden allgemeinen Dokumentationspflichten der DS-GVO (Art. 5 Abs. 2, Art. 24 Abs. 1 DS-GVO) konkretisiert. Normadressaten können überdies nunmehr auch Auftragsverarbeiter sein</w:t>
      </w:r>
      <w:r w:rsidR="002D12F1">
        <w:t xml:space="preserve"> und sind damit in der Pflicht ebenfalls ein VVT zu führen</w:t>
      </w:r>
      <w:r w:rsidRPr="00AF5CB0">
        <w:t xml:space="preserve"> (Art. 30 Abs. 2 DS-GVO). Das Verzeichnis wird sich in der Praxis voraussichtlich zum zentralen Bestandteil der Dokumentation entwickeln.</w:t>
      </w:r>
      <w:r w:rsidR="002D12F1">
        <w:rPr>
          <w:rStyle w:val="Funotenzeichen"/>
        </w:rPr>
        <w:footnoteReference w:id="5"/>
      </w:r>
      <w:r w:rsidRPr="00AF5CB0">
        <w:t xml:space="preserve"> Es kann zwar nicht mehr von jeder Person offen eingesehen werden, aber die zuständige Aufsichtsbehörde kann die Vorlage im Rahmen der behördlichen Kontrolle jederzeit anfragen (Art. 30 Abs. 4 DS-GVO).</w:t>
      </w:r>
      <w:r w:rsidR="00DE6CAE">
        <w:t xml:space="preserve"> Es muss damit gerechnet werden, dass im Zuge jeder aufsichtsbehördlichen Ermittlung, die aufgrund des Amtsermittlungsgrundsatzes bereits auf eine einzige Beschwerde hin erfolgen kann, nach dem VVT gefragt wird. </w:t>
      </w:r>
    </w:p>
    <w:p w14:paraId="5407758A" w14:textId="77777777" w:rsidR="00AF5CB0" w:rsidRDefault="00AF5CB0" w:rsidP="00285EAF">
      <w:pPr>
        <w:pStyle w:val="berschrift2"/>
        <w:rPr>
          <w:rFonts w:ascii="Times New Roman" w:hAnsi="Times New Roman" w:cs="Times New Roman"/>
          <w:b/>
          <w:color w:val="auto"/>
          <w:sz w:val="24"/>
          <w:szCs w:val="24"/>
        </w:rPr>
      </w:pPr>
      <w:bookmarkStart w:id="4" w:name="_Toc1742976"/>
      <w:r w:rsidRPr="00285EAF">
        <w:rPr>
          <w:rFonts w:ascii="Times New Roman" w:hAnsi="Times New Roman" w:cs="Times New Roman"/>
          <w:b/>
          <w:color w:val="auto"/>
          <w:sz w:val="24"/>
          <w:szCs w:val="24"/>
        </w:rPr>
        <w:t>Verpflichtete</w:t>
      </w:r>
      <w:bookmarkEnd w:id="4"/>
    </w:p>
    <w:p w14:paraId="38B9D234" w14:textId="77777777" w:rsidR="00AF5CB0" w:rsidRPr="00AF5CB0" w:rsidRDefault="00AF5CB0" w:rsidP="00855F48">
      <w:pPr>
        <w:spacing w:after="200" w:line="360" w:lineRule="auto"/>
        <w:jc w:val="both"/>
      </w:pPr>
      <w:r w:rsidRPr="00AF5CB0">
        <w:t xml:space="preserve">Die neue Regelung in Art. 30 DS-GVO gilt grundsätzlich </w:t>
      </w:r>
      <w:r w:rsidRPr="00A6303B">
        <w:t>für jeden Verantwortlichen</w:t>
      </w:r>
      <w:r w:rsidRPr="00AF5CB0">
        <w:t xml:space="preserve"> im Sinne von Art. 4 Nr. 7 DS-GVO und jeden Auftragsverarbeiter im Sinne von Art. 4 Nr. 8 DS-</w:t>
      </w:r>
      <w:r w:rsidRPr="00AF5CB0">
        <w:lastRenderedPageBreak/>
        <w:t>GVO. Die Regelung des Art. 30 DS-GVO bezieht sich dabei jeweils auch auf den Vertreter im Sinne von Art. 4 Nr. 17</w:t>
      </w:r>
      <w:r w:rsidRPr="00AF5CB0">
        <w:rPr>
          <w:rStyle w:val="Funotenzeichen"/>
        </w:rPr>
        <w:footnoteReference w:id="6"/>
      </w:r>
      <w:r w:rsidRPr="00AF5CB0">
        <w:t xml:space="preserve"> DS-GVO. Nach der Ausnahmeregelung des </w:t>
      </w:r>
      <w:r w:rsidR="000F3A0B">
        <w:t xml:space="preserve">Art. 30 </w:t>
      </w:r>
      <w:r w:rsidRPr="00AF5CB0">
        <w:t>Abs. 5</w:t>
      </w:r>
      <w:r w:rsidR="000F3A0B">
        <w:t xml:space="preserve"> DS-GVO</w:t>
      </w:r>
      <w:r w:rsidRPr="00AF5CB0">
        <w:t xml:space="preserve"> sind davon bestimmte Unternehmen</w:t>
      </w:r>
      <w:r w:rsidR="000F3A0B">
        <w:t>, aber auch Einrichtungen ohne Gewinnerzielungsabsicht</w:t>
      </w:r>
      <w:r w:rsidRPr="00AF5CB0">
        <w:t xml:space="preserve"> unter besonderen Umständen befreit ein solches Verzeichnis zu erstellen und zu führen. Die Ausnahme soll grundsätzlich für Unternehmen</w:t>
      </w:r>
      <w:r w:rsidR="000F3A0B">
        <w:t xml:space="preserve"> und Einrichtungen</w:t>
      </w:r>
      <w:r w:rsidRPr="00AF5CB0">
        <w:t xml:space="preserve"> unterhalb einer Größe von 250 </w:t>
      </w:r>
      <w:r w:rsidR="000F3A0B">
        <w:t>Beschäftigten</w:t>
      </w:r>
      <w:r w:rsidRPr="00AF5CB0">
        <w:t xml:space="preserve">, jedoch nicht bei </w:t>
      </w:r>
      <w:r w:rsidR="00855F48" w:rsidRPr="00AF5CB0">
        <w:t>Verarbeitung</w:t>
      </w:r>
      <w:r w:rsidR="00855F48">
        <w:t>en mit</w:t>
      </w:r>
      <w:r w:rsidR="00855F48" w:rsidRPr="00AF5CB0">
        <w:t xml:space="preserve"> </w:t>
      </w:r>
      <w:r w:rsidRPr="00AF5CB0">
        <w:t>einem Risiko</w:t>
      </w:r>
      <w:r w:rsidR="00855F48">
        <w:t xml:space="preserve"> für die Rechte und Freiheiten der betroffenen Personen</w:t>
      </w:r>
      <w:r w:rsidRPr="00AF5CB0">
        <w:t xml:space="preserve"> oder bei der Verarbeitung von </w:t>
      </w:r>
      <w:r w:rsidR="00855F48">
        <w:t>besonderen Kategorien personenbezogener</w:t>
      </w:r>
      <w:r w:rsidRPr="00AF5CB0">
        <w:t xml:space="preserve"> Daten (Artt. 9 und 10 DS-GVO) oder bei einer nicht nur gelegentlichen Verarbeitung. Mindestens der Aspekt einer regelmäßigen Verarbeitung wird die Ausnahmeregelung ins Leere laufen lassen und praktisch gegenstandslos machen.</w:t>
      </w:r>
      <w:r w:rsidRPr="00AF5CB0">
        <w:rPr>
          <w:rStyle w:val="Funotenzeichen"/>
        </w:rPr>
        <w:footnoteReference w:id="7"/>
      </w:r>
    </w:p>
    <w:p w14:paraId="2D187440" w14:textId="52D08352" w:rsidR="00A6303B" w:rsidRPr="00A6303B" w:rsidRDefault="00AF5CB0" w:rsidP="00AF5CB0">
      <w:pPr>
        <w:spacing w:after="200" w:line="360" w:lineRule="auto"/>
        <w:jc w:val="both"/>
      </w:pPr>
      <w:r w:rsidRPr="00AF5CB0">
        <w:t>Das V</w:t>
      </w:r>
      <w:r w:rsidR="0049128F">
        <w:t>erarbeitung</w:t>
      </w:r>
      <w:r w:rsidRPr="00AF5CB0">
        <w:t>sverzeichnis ist nicht vom Datenschutzbeauftragten</w:t>
      </w:r>
      <w:r w:rsidR="000F3A0B">
        <w:t xml:space="preserve"> (DSB)</w:t>
      </w:r>
      <w:r w:rsidRPr="00AF5CB0">
        <w:t>, sondern unmittelbar vom Verantwortlichen zu führen. Dieses kann jedoch zentral geführt werden. Die Art.-29-Datenschutzgruppe</w:t>
      </w:r>
      <w:r w:rsidRPr="00AF5CB0">
        <w:rPr>
          <w:rStyle w:val="Funotenzeichen"/>
        </w:rPr>
        <w:footnoteReference w:id="8"/>
      </w:r>
      <w:r w:rsidRPr="00AF5CB0">
        <w:t xml:space="preserve"> hält es für </w:t>
      </w:r>
      <w:r w:rsidR="000E6AC9">
        <w:t xml:space="preserve">zulässig, den DSB mit dem </w:t>
      </w:r>
      <w:r w:rsidR="000F3A0B">
        <w:t>Führ</w:t>
      </w:r>
      <w:r w:rsidR="000E6AC9">
        <w:t>e</w:t>
      </w:r>
      <w:r w:rsidR="000F3A0B">
        <w:t>n</w:t>
      </w:r>
      <w:r w:rsidR="000E6AC9">
        <w:t xml:space="preserve"> des VVT</w:t>
      </w:r>
      <w:r w:rsidR="000F3A0B">
        <w:t xml:space="preserve"> zu betrauen. </w:t>
      </w:r>
      <w:r w:rsidR="000E6AC9">
        <w:t xml:space="preserve">Führen impliziert nicht Erstellen und Pflegen. </w:t>
      </w:r>
      <w:r w:rsidR="000F3A0B">
        <w:t>Unabhängig von der tatsächlich mit dem VVT befassten Person,</w:t>
      </w:r>
      <w:r w:rsidRPr="00AF5CB0">
        <w:t xml:space="preserve"> </w:t>
      </w:r>
      <w:r w:rsidR="000F3A0B">
        <w:t>liegt die</w:t>
      </w:r>
      <w:r w:rsidRPr="00AF5CB0">
        <w:t xml:space="preserve"> Verantwortung </w:t>
      </w:r>
      <w:r w:rsidR="00A6303B">
        <w:t>stets beim Verantwortlichen</w:t>
      </w:r>
      <w:r w:rsidRPr="00AF5CB0">
        <w:t>.</w:t>
      </w:r>
    </w:p>
    <w:p w14:paraId="58E2B79B" w14:textId="4642E7AA" w:rsidR="00A6303B" w:rsidRDefault="00A6303B" w:rsidP="00285EAF">
      <w:pPr>
        <w:pStyle w:val="berschrift2"/>
        <w:rPr>
          <w:rFonts w:ascii="Times New Roman" w:hAnsi="Times New Roman" w:cs="Times New Roman"/>
          <w:b/>
          <w:color w:val="auto"/>
          <w:sz w:val="24"/>
          <w:szCs w:val="24"/>
        </w:rPr>
      </w:pPr>
      <w:bookmarkStart w:id="5" w:name="_Toc1742977"/>
      <w:r w:rsidRPr="00285EAF">
        <w:rPr>
          <w:rFonts w:ascii="Times New Roman" w:hAnsi="Times New Roman" w:cs="Times New Roman"/>
          <w:b/>
          <w:color w:val="auto"/>
          <w:sz w:val="24"/>
          <w:szCs w:val="24"/>
        </w:rPr>
        <w:t xml:space="preserve">Spezifische Bedingungen an </w:t>
      </w:r>
      <w:r w:rsidR="00E5282A">
        <w:rPr>
          <w:rFonts w:ascii="Times New Roman" w:hAnsi="Times New Roman" w:cs="Times New Roman"/>
          <w:b/>
          <w:color w:val="auto"/>
          <w:sz w:val="24"/>
          <w:szCs w:val="24"/>
        </w:rPr>
        <w:t>Hochschulen</w:t>
      </w:r>
      <w:bookmarkEnd w:id="5"/>
    </w:p>
    <w:p w14:paraId="06A15236" w14:textId="65127C38" w:rsidR="00A6303B" w:rsidRDefault="00E5282A" w:rsidP="00AF5CB0">
      <w:pPr>
        <w:spacing w:after="200" w:line="360" w:lineRule="auto"/>
        <w:jc w:val="both"/>
      </w:pPr>
      <w:r>
        <w:t>Hochschulen</w:t>
      </w:r>
      <w:r w:rsidR="00A6303B">
        <w:t xml:space="preserve"> </w:t>
      </w:r>
      <w:r w:rsidR="00525D73">
        <w:t>f</w:t>
      </w:r>
      <w:r>
        <w:t>a</w:t>
      </w:r>
      <w:r w:rsidR="00525D73">
        <w:t>ll</w:t>
      </w:r>
      <w:r>
        <w:t>en</w:t>
      </w:r>
      <w:r w:rsidR="00525D73">
        <w:t xml:space="preserve"> vollumfänglich unter die Rechtspflicht gemäß Art. 30 DS-GVO ein VVT zu führen. </w:t>
      </w:r>
      <w:r w:rsidR="00531FDA">
        <w:t xml:space="preserve">Die Qualifikation der </w:t>
      </w:r>
      <w:r w:rsidR="007B19B9">
        <w:t>Hochschulen</w:t>
      </w:r>
      <w:r w:rsidR="00531FDA">
        <w:t xml:space="preserve"> als öffentliche Stelle</w:t>
      </w:r>
      <w:r w:rsidR="007B19B9">
        <w:t>n</w:t>
      </w:r>
      <w:r w:rsidR="00531FDA">
        <w:t xml:space="preserve"> im datenschutzrechtlichen Sinne hat keine Auswirkungen auf die Rechtspflicht.</w:t>
      </w:r>
      <w:r w:rsidR="00A701EB">
        <w:t xml:space="preserve"> Ebenso wenig sind die Ausnahmetatbestände des Art. 30 Abs. 5 </w:t>
      </w:r>
      <w:r w:rsidR="00AD3C68">
        <w:t xml:space="preserve">DS-GVO erfüllt, sodass keine Verpflichtung für ein VVT bestehen würde. </w:t>
      </w:r>
      <w:r w:rsidR="00525D73">
        <w:t xml:space="preserve">Rechtsverpflichteter i.S.d. der DS-GVO ist </w:t>
      </w:r>
      <w:r w:rsidR="00793F5D">
        <w:t xml:space="preserve">der Rektor </w:t>
      </w:r>
      <w:r>
        <w:t xml:space="preserve">/ der Präsident </w:t>
      </w:r>
      <w:r w:rsidR="00793F5D">
        <w:t>als Vertretungsberechtigte</w:t>
      </w:r>
      <w:r w:rsidR="00DE6CAE">
        <w:t>r</w:t>
      </w:r>
      <w:r w:rsidR="00793F5D">
        <w:t xml:space="preserve"> der </w:t>
      </w:r>
      <w:r>
        <w:t>Hochschule</w:t>
      </w:r>
      <w:r w:rsidR="00793F5D">
        <w:t>.</w:t>
      </w:r>
      <w:r w:rsidR="00531FDA">
        <w:t xml:space="preserve"> </w:t>
      </w:r>
    </w:p>
    <w:p w14:paraId="75DBA619" w14:textId="1E03599E" w:rsidR="002D4FC1" w:rsidRDefault="002D4FC1" w:rsidP="002D4FC1">
      <w:pPr>
        <w:spacing w:after="200" w:line="360" w:lineRule="auto"/>
        <w:jc w:val="both"/>
      </w:pPr>
      <w:r>
        <w:t>Der im datenschutzrechtlichen Sinne Verantwortliche wird das VVT aber nicht selbst</w:t>
      </w:r>
      <w:r w:rsidR="00AA5A76">
        <w:t xml:space="preserve"> </w:t>
      </w:r>
      <w:r>
        <w:t>ers</w:t>
      </w:r>
      <w:r w:rsidR="00AA5A76">
        <w:t>tellen oder führen. Die Aufgabe</w:t>
      </w:r>
      <w:r>
        <w:t xml:space="preserve"> der </w:t>
      </w:r>
      <w:r w:rsidRPr="00AF5CB0">
        <w:t>Erstel</w:t>
      </w:r>
      <w:r>
        <w:t xml:space="preserve">lung des VVT obliegt einem </w:t>
      </w:r>
      <w:r w:rsidR="00E5282A">
        <w:t xml:space="preserve">festzulegenden </w:t>
      </w:r>
      <w:r>
        <w:t xml:space="preserve">Projektteam. Dieses Team </w:t>
      </w:r>
      <w:r w:rsidR="00E5282A">
        <w:t>kann aus</w:t>
      </w:r>
      <w:r>
        <w:t xml:space="preserve"> benannten behördlichen Datenschutzbeauftragten sowie Projektmanager und weiteren Projektmitgliedern </w:t>
      </w:r>
      <w:r w:rsidR="00E5282A">
        <w:t xml:space="preserve">bestehen und durch </w:t>
      </w:r>
      <w:r>
        <w:t>externe Beratung unterstützt</w:t>
      </w:r>
      <w:r w:rsidR="00E5282A">
        <w:t xml:space="preserve"> werden</w:t>
      </w:r>
      <w:r>
        <w:t>.</w:t>
      </w:r>
      <w:r w:rsidR="003F44B1" w:rsidRPr="003F44B1">
        <w:t xml:space="preserve"> </w:t>
      </w:r>
      <w:r w:rsidR="003F44B1">
        <w:t xml:space="preserve">Die weitere Pflege obliegt den jeweiligen Organisationseinheiten der </w:t>
      </w:r>
      <w:r w:rsidR="00E5282A">
        <w:lastRenderedPageBreak/>
        <w:t>Hochschule</w:t>
      </w:r>
      <w:r w:rsidR="003F44B1">
        <w:t xml:space="preserve">. </w:t>
      </w:r>
      <w:r w:rsidR="00E5282A">
        <w:t xml:space="preserve">Dazu können </w:t>
      </w:r>
      <w:r w:rsidR="003F44B1">
        <w:t>Datenschutz und Informationssicherheits-Koordinatoren (DISK) in den einzelnen Organisationseinheiten benannt werden.</w:t>
      </w:r>
    </w:p>
    <w:p w14:paraId="06800E0A" w14:textId="4408BB39" w:rsidR="00DE6CAE" w:rsidRDefault="00E5282A" w:rsidP="00824C8E">
      <w:pPr>
        <w:spacing w:after="200" w:line="360" w:lineRule="auto"/>
        <w:jc w:val="both"/>
      </w:pPr>
      <w:r>
        <w:t>D</w:t>
      </w:r>
      <w:r w:rsidR="00DE6CAE">
        <w:t xml:space="preserve">as Verzeichnis </w:t>
      </w:r>
      <w:r>
        <w:t xml:space="preserve">dient </w:t>
      </w:r>
      <w:r w:rsidR="00DE6CAE">
        <w:t xml:space="preserve">gleichzeitig als Grundlage für ein Datenschutz-Managementsystem der </w:t>
      </w:r>
      <w:r w:rsidR="007B19B9">
        <w:t>Hochschule</w:t>
      </w:r>
      <w:r w:rsidR="00DE6CAE">
        <w:t xml:space="preserve">. Diese Sichtweise ermöglicht es, die aufgrund des Umfangs dem VVT inhärenten Potenziale dafür zu nutzen ein Datenschutz-Managementsystem an der </w:t>
      </w:r>
      <w:r>
        <w:t>Hochschule</w:t>
      </w:r>
      <w:r w:rsidR="00DE6CAE">
        <w:t xml:space="preserve"> aufzubauen und das VVT nicht nur effektiv, sondern auch effizient zu nutzen. </w:t>
      </w:r>
    </w:p>
    <w:p w14:paraId="1F67E2F8" w14:textId="77777777" w:rsidR="00AF5CB0" w:rsidRPr="00285EAF" w:rsidRDefault="00AF5CB0" w:rsidP="00285EAF">
      <w:pPr>
        <w:pStyle w:val="berschrift2"/>
        <w:rPr>
          <w:rFonts w:ascii="Times New Roman" w:hAnsi="Times New Roman" w:cs="Times New Roman"/>
          <w:b/>
          <w:color w:val="auto"/>
          <w:sz w:val="24"/>
          <w:szCs w:val="24"/>
        </w:rPr>
      </w:pPr>
      <w:bookmarkStart w:id="6" w:name="_Toc1742978"/>
      <w:r w:rsidRPr="00285EAF">
        <w:rPr>
          <w:rFonts w:ascii="Times New Roman" w:hAnsi="Times New Roman" w:cs="Times New Roman"/>
          <w:b/>
          <w:color w:val="auto"/>
          <w:sz w:val="24"/>
          <w:szCs w:val="24"/>
        </w:rPr>
        <w:t>Formale Anforderungen</w:t>
      </w:r>
      <w:bookmarkEnd w:id="6"/>
    </w:p>
    <w:p w14:paraId="5F6C4030" w14:textId="77777777" w:rsidR="00AF5CB0" w:rsidRPr="00AF5CB0" w:rsidRDefault="00AF5CB0" w:rsidP="00AF5CB0">
      <w:pPr>
        <w:spacing w:after="200" w:line="360" w:lineRule="auto"/>
        <w:jc w:val="both"/>
      </w:pPr>
      <w:r w:rsidRPr="00AF5CB0">
        <w:t xml:space="preserve">Das Verarbeitungsverzeichnis ist grundsätzlich </w:t>
      </w:r>
      <w:r w:rsidR="00E226C7">
        <w:t>textlich</w:t>
      </w:r>
      <w:r w:rsidRPr="00AF5CB0">
        <w:t xml:space="preserve"> zu führen, was aber auch in einem elektronischen Format erfolgen kann. Der Aufsichtsbehörde </w:t>
      </w:r>
      <w:r w:rsidR="00AA5A76">
        <w:t>muss</w:t>
      </w:r>
      <w:r w:rsidRPr="00AF5CB0">
        <w:t xml:space="preserve"> </w:t>
      </w:r>
      <w:r w:rsidR="00AA5A76">
        <w:t>das VVT</w:t>
      </w:r>
      <w:r w:rsidRPr="00AF5CB0">
        <w:t xml:space="preserve"> auf Anfrage zur Verfügung gestellt werden.</w:t>
      </w:r>
      <w:r w:rsidRPr="00AF5CB0">
        <w:rPr>
          <w:rStyle w:val="Funotenzeichen"/>
        </w:rPr>
        <w:footnoteReference w:id="9"/>
      </w:r>
      <w:r w:rsidRPr="00AF5CB0">
        <w:t xml:space="preserve"> Damit die Aufsichtsbehörde die Verarbeitungsvorgänge anhand dieser Verzeichnisse kontrollieren kann, müssen diese entweder in gedruckter Form vorzeigbar sein oder elektronisch zur Verfügung gestellt werden können. </w:t>
      </w:r>
    </w:p>
    <w:p w14:paraId="02492091" w14:textId="77777777" w:rsidR="00285EAF" w:rsidRDefault="00AF5CB0" w:rsidP="00B112BF">
      <w:pPr>
        <w:pStyle w:val="berschrift2"/>
        <w:rPr>
          <w:rFonts w:ascii="Times New Roman" w:hAnsi="Times New Roman" w:cs="Times New Roman"/>
          <w:b/>
          <w:color w:val="auto"/>
          <w:sz w:val="24"/>
          <w:szCs w:val="24"/>
        </w:rPr>
      </w:pPr>
      <w:bookmarkStart w:id="7" w:name="_Toc1742979"/>
      <w:r w:rsidRPr="00285EAF">
        <w:rPr>
          <w:rFonts w:ascii="Times New Roman" w:hAnsi="Times New Roman" w:cs="Times New Roman"/>
          <w:b/>
          <w:color w:val="auto"/>
          <w:sz w:val="24"/>
          <w:szCs w:val="24"/>
        </w:rPr>
        <w:t>Inhalte</w:t>
      </w:r>
      <w:bookmarkEnd w:id="7"/>
    </w:p>
    <w:p w14:paraId="389FD19C" w14:textId="77777777" w:rsidR="00021377" w:rsidRDefault="00AF5CB0" w:rsidP="00AF5CB0">
      <w:pPr>
        <w:spacing w:after="200" w:line="360" w:lineRule="auto"/>
        <w:jc w:val="both"/>
      </w:pPr>
      <w:r w:rsidRPr="00AF5CB0">
        <w:t xml:space="preserve">Das </w:t>
      </w:r>
      <w:r w:rsidR="00AA5A76">
        <w:t>VVT</w:t>
      </w:r>
      <w:r w:rsidRPr="00AF5CB0">
        <w:t xml:space="preserve"> soll eine prozessorientierte Übersicht der</w:t>
      </w:r>
      <w:r w:rsidR="00AA5A76">
        <w:t xml:space="preserve"> Verarbeitungen darstellen und k</w:t>
      </w:r>
      <w:r w:rsidRPr="00AF5CB0">
        <w:t>eine</w:t>
      </w:r>
      <w:r w:rsidR="00AA5A76">
        <w:t xml:space="preserve"> unstrukt</w:t>
      </w:r>
      <w:r w:rsidR="004B7734">
        <w:t>urier</w:t>
      </w:r>
      <w:r w:rsidR="00AA5A76">
        <w:t>te</w:t>
      </w:r>
      <w:r w:rsidRPr="00AF5CB0">
        <w:t xml:space="preserve"> Auflistung von Pflichtinhalten. </w:t>
      </w:r>
      <w:r w:rsidR="00021377">
        <w:t xml:space="preserve">Der Verarbeitungsbegriff ist in Art. 4 Nr. 2 DS-GVO legaldefiniert. Danach bezeichnet: </w:t>
      </w:r>
    </w:p>
    <w:p w14:paraId="66391F6B" w14:textId="77777777" w:rsidR="00021377" w:rsidRPr="00021377" w:rsidRDefault="00021377" w:rsidP="00021377">
      <w:pPr>
        <w:spacing w:after="200" w:line="360" w:lineRule="auto"/>
        <w:ind w:left="708"/>
        <w:jc w:val="both"/>
        <w:rPr>
          <w:i/>
        </w:rPr>
      </w:pPr>
      <w:r>
        <w:rPr>
          <w:i/>
        </w:rPr>
        <w:t>„</w:t>
      </w:r>
      <w:r w:rsidRPr="00021377">
        <w:rPr>
          <w:i/>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r>
        <w:rPr>
          <w:i/>
        </w:rPr>
        <w:t>.“</w:t>
      </w:r>
      <w:r>
        <w:rPr>
          <w:rStyle w:val="Funotenzeichen"/>
          <w:i/>
        </w:rPr>
        <w:footnoteReference w:id="10"/>
      </w:r>
    </w:p>
    <w:p w14:paraId="4EE89D89" w14:textId="77777777" w:rsidR="009154E3" w:rsidRDefault="00AF5CB0" w:rsidP="00AF5CB0">
      <w:pPr>
        <w:spacing w:after="200" w:line="360" w:lineRule="auto"/>
        <w:jc w:val="both"/>
      </w:pPr>
      <w:r w:rsidRPr="00AF5CB0">
        <w:t xml:space="preserve">Grundlegende Angaben nach Art. 30 Abs. 1 DS-GVO müssen von dem jeweiligen Verantwortlichen nur einmal gemacht werden, da sie für jede Verarbeitung gleichermaßen gelten. Art. 30 Abs. 1 DS-GVO regelt die Inhalte des Verarbeitungsverzeichnisses für Verantwortliche. </w:t>
      </w:r>
    </w:p>
    <w:p w14:paraId="6FF89138" w14:textId="0755AB36" w:rsidR="007B19B9" w:rsidRDefault="007B19B9" w:rsidP="00AF5CB0">
      <w:pPr>
        <w:spacing w:after="200" w:line="360" w:lineRule="auto"/>
        <w:jc w:val="both"/>
      </w:pPr>
    </w:p>
    <w:p w14:paraId="46B776CF" w14:textId="77777777" w:rsidR="007B19B9" w:rsidRDefault="007B19B9" w:rsidP="00AF5CB0">
      <w:pPr>
        <w:spacing w:after="200" w:line="360" w:lineRule="auto"/>
        <w:jc w:val="both"/>
      </w:pPr>
    </w:p>
    <w:p w14:paraId="4CF08342" w14:textId="77777777" w:rsidR="006B0E28" w:rsidRPr="00AD3A0E" w:rsidRDefault="006B0E28" w:rsidP="00AD3A0E">
      <w:pPr>
        <w:pStyle w:val="Untertitel"/>
        <w:rPr>
          <w:rFonts w:ascii="Times New Roman" w:hAnsi="Times New Roman" w:cs="Times New Roman"/>
          <w:i/>
          <w:color w:val="auto"/>
          <w:sz w:val="24"/>
          <w:szCs w:val="24"/>
        </w:rPr>
      </w:pPr>
      <w:r w:rsidRPr="00AD3A0E">
        <w:rPr>
          <w:rFonts w:ascii="Times New Roman" w:hAnsi="Times New Roman" w:cs="Times New Roman"/>
          <w:i/>
          <w:color w:val="auto"/>
          <w:sz w:val="24"/>
          <w:szCs w:val="24"/>
        </w:rPr>
        <w:lastRenderedPageBreak/>
        <w:t>Mindestinhalte bei den grundlegenden Angaben nach Art. 30 Abs. 1 DS-GVO</w:t>
      </w:r>
    </w:p>
    <w:p w14:paraId="41E869CC" w14:textId="77777777" w:rsidR="006B0E28" w:rsidRDefault="00AF5CB0" w:rsidP="009154E3">
      <w:pPr>
        <w:spacing w:after="200" w:line="360" w:lineRule="auto"/>
        <w:jc w:val="both"/>
        <w:rPr>
          <w:rFonts w:cs="Arial"/>
          <w:szCs w:val="22"/>
        </w:rPr>
      </w:pPr>
      <w:r w:rsidRPr="00AF5CB0">
        <w:t xml:space="preserve">In Abs. 1 S. 2 sind die Mindestinhalte aufgeführt. </w:t>
      </w:r>
      <w:r w:rsidR="009154E3">
        <w:t xml:space="preserve">Dazu zählen als grundlegende Angaben die Namen und die Kontaktdaten des Verantwortlichen und des Datenschutzbeauftragten. </w:t>
      </w:r>
      <w:r w:rsidR="009154E3">
        <w:rPr>
          <w:rFonts w:cs="Arial"/>
          <w:szCs w:val="22"/>
        </w:rPr>
        <w:t>Anzugeben sind hier der Name der verarbeitenden Stelle sowie eine</w:t>
      </w:r>
      <w:r w:rsidR="009154E3" w:rsidRPr="00123629">
        <w:rPr>
          <w:rFonts w:cs="Arial"/>
          <w:szCs w:val="22"/>
        </w:rPr>
        <w:t xml:space="preserve"> ladungsfähige Anschrift</w:t>
      </w:r>
      <w:r w:rsidR="009154E3">
        <w:rPr>
          <w:rFonts w:cs="Arial"/>
          <w:szCs w:val="22"/>
        </w:rPr>
        <w:t>, unter der die Stelle auch räumlich vorzufinden ist</w:t>
      </w:r>
      <w:r w:rsidR="003F44B1">
        <w:t>.</w:t>
      </w:r>
      <w:r w:rsidR="009154E3">
        <w:t xml:space="preserve"> </w:t>
      </w:r>
      <w:r w:rsidR="009154E3">
        <w:rPr>
          <w:rFonts w:cs="Arial"/>
          <w:szCs w:val="22"/>
        </w:rPr>
        <w:t>Die Kontaktdaten des vom V</w:t>
      </w:r>
      <w:r w:rsidR="009154E3" w:rsidRPr="00123629">
        <w:rPr>
          <w:rFonts w:cs="Arial"/>
          <w:szCs w:val="22"/>
        </w:rPr>
        <w:t>erantwortlichen bestellte</w:t>
      </w:r>
      <w:r w:rsidR="009154E3">
        <w:rPr>
          <w:rFonts w:cs="Arial"/>
          <w:szCs w:val="22"/>
        </w:rPr>
        <w:t xml:space="preserve">n Datenschutzbeauftragten sind hier zu nennen, da er in Fragestellungen den Datenschutz betreffend </w:t>
      </w:r>
      <w:r w:rsidR="00A313CD">
        <w:rPr>
          <w:rFonts w:cs="Arial"/>
          <w:szCs w:val="22"/>
        </w:rPr>
        <w:t xml:space="preserve">insbesondere von Seiten der kontrollierenden Aufsichtsbehörden </w:t>
      </w:r>
      <w:r w:rsidR="009154E3">
        <w:rPr>
          <w:rFonts w:cs="Arial"/>
          <w:szCs w:val="22"/>
        </w:rPr>
        <w:t xml:space="preserve">konsultiert werden kann. Letztgenannter dient nach DS-GVO als Ansprechpartner für die Aufsichtsbehörden. </w:t>
      </w:r>
    </w:p>
    <w:p w14:paraId="0C2F8364" w14:textId="1729471E" w:rsidR="006B0E28" w:rsidRDefault="009154E3" w:rsidP="009154E3">
      <w:pPr>
        <w:spacing w:after="200" w:line="360" w:lineRule="auto"/>
        <w:jc w:val="both"/>
        <w:rPr>
          <w:rFonts w:cs="Arial"/>
          <w:szCs w:val="22"/>
        </w:rPr>
      </w:pPr>
      <w:r>
        <w:rPr>
          <w:rFonts w:cs="Arial"/>
          <w:szCs w:val="22"/>
        </w:rPr>
        <w:t xml:space="preserve">Weiter können grundlegende </w:t>
      </w:r>
      <w:r w:rsidRPr="009154E3">
        <w:rPr>
          <w:rFonts w:cs="Arial"/>
          <w:szCs w:val="22"/>
        </w:rPr>
        <w:t>Verwei</w:t>
      </w:r>
      <w:r>
        <w:rPr>
          <w:rFonts w:cs="Arial"/>
          <w:szCs w:val="22"/>
        </w:rPr>
        <w:t>se auf übergreifende Regelungen</w:t>
      </w:r>
      <w:r w:rsidRPr="009154E3">
        <w:rPr>
          <w:rFonts w:cs="Arial"/>
          <w:szCs w:val="22"/>
        </w:rPr>
        <w:t xml:space="preserve">, die grundsätzlich alle Verarbeitungen betreffen, benannt werden. Es handelt sich dabei um einen reinen Verweis auf übergreifende Regelungen </w:t>
      </w:r>
      <w:r>
        <w:rPr>
          <w:rFonts w:cs="Arial"/>
          <w:szCs w:val="22"/>
        </w:rPr>
        <w:t xml:space="preserve">wie </w:t>
      </w:r>
      <w:r w:rsidRPr="009154E3">
        <w:rPr>
          <w:rFonts w:cs="Arial"/>
          <w:szCs w:val="22"/>
        </w:rPr>
        <w:t>z. B.</w:t>
      </w:r>
      <w:r>
        <w:rPr>
          <w:rFonts w:cs="Arial"/>
          <w:szCs w:val="22"/>
        </w:rPr>
        <w:t xml:space="preserve"> ein</w:t>
      </w:r>
      <w:r w:rsidRPr="009154E3">
        <w:rPr>
          <w:rFonts w:cs="Arial"/>
          <w:szCs w:val="22"/>
        </w:rPr>
        <w:t xml:space="preserve"> </w:t>
      </w:r>
      <w:r w:rsidR="006B0E28">
        <w:rPr>
          <w:rFonts w:cs="Arial"/>
          <w:szCs w:val="22"/>
        </w:rPr>
        <w:t xml:space="preserve">existierendes </w:t>
      </w:r>
      <w:r w:rsidR="00521911" w:rsidRPr="00521911">
        <w:rPr>
          <w:rFonts w:cs="Arial"/>
          <w:szCs w:val="22"/>
        </w:rPr>
        <w:t>Betriebskontinuitätsmanagement</w:t>
      </w:r>
      <w:r w:rsidR="00017833">
        <w:rPr>
          <w:rFonts w:cs="Arial"/>
          <w:szCs w:val="22"/>
        </w:rPr>
        <w:t>-</w:t>
      </w:r>
      <w:r w:rsidR="001E574E">
        <w:rPr>
          <w:rFonts w:cs="Arial"/>
          <w:szCs w:val="22"/>
        </w:rPr>
        <w:t>k</w:t>
      </w:r>
      <w:r w:rsidR="00521911">
        <w:rPr>
          <w:rFonts w:cs="Arial"/>
          <w:szCs w:val="22"/>
        </w:rPr>
        <w:t>onzept</w:t>
      </w:r>
      <w:r w:rsidR="00017833">
        <w:rPr>
          <w:rFonts w:cs="Arial"/>
          <w:szCs w:val="22"/>
        </w:rPr>
        <w:t xml:space="preserve"> (BCM)</w:t>
      </w:r>
      <w:r>
        <w:rPr>
          <w:rFonts w:cs="Arial"/>
          <w:szCs w:val="22"/>
        </w:rPr>
        <w:t xml:space="preserve">. Gleichermaßen verhält es sich mit vorhandenen </w:t>
      </w:r>
      <w:r w:rsidR="00017833">
        <w:rPr>
          <w:rFonts w:cs="Arial"/>
          <w:szCs w:val="22"/>
        </w:rPr>
        <w:t xml:space="preserve">Aufbewahrungsrichtlinien der </w:t>
      </w:r>
      <w:r w:rsidR="007B19B9">
        <w:rPr>
          <w:rFonts w:cs="Arial"/>
          <w:szCs w:val="22"/>
        </w:rPr>
        <w:t>Hochschule</w:t>
      </w:r>
      <w:r>
        <w:rPr>
          <w:rFonts w:cs="Arial"/>
          <w:szCs w:val="22"/>
        </w:rPr>
        <w:t>.</w:t>
      </w:r>
      <w:r w:rsidRPr="009154E3">
        <w:rPr>
          <w:rFonts w:cs="Arial"/>
          <w:szCs w:val="22"/>
        </w:rPr>
        <w:t xml:space="preserve"> </w:t>
      </w:r>
      <w:r>
        <w:rPr>
          <w:rFonts w:cs="Arial"/>
          <w:szCs w:val="22"/>
        </w:rPr>
        <w:t xml:space="preserve">Sofern </w:t>
      </w:r>
      <w:r w:rsidR="00017833">
        <w:rPr>
          <w:rFonts w:cs="Arial"/>
          <w:szCs w:val="22"/>
        </w:rPr>
        <w:t>dieses</w:t>
      </w:r>
      <w:r w:rsidRPr="009154E3">
        <w:rPr>
          <w:rFonts w:cs="Arial"/>
          <w:szCs w:val="22"/>
        </w:rPr>
        <w:t xml:space="preserve"> für alle </w:t>
      </w:r>
      <w:r w:rsidR="00017833">
        <w:rPr>
          <w:rFonts w:cs="Arial"/>
          <w:szCs w:val="22"/>
        </w:rPr>
        <w:t xml:space="preserve">oder mehrere </w:t>
      </w:r>
      <w:r w:rsidRPr="009154E3">
        <w:rPr>
          <w:rFonts w:cs="Arial"/>
          <w:szCs w:val="22"/>
        </w:rPr>
        <w:t xml:space="preserve">Verarbeitungen </w:t>
      </w:r>
      <w:r>
        <w:rPr>
          <w:rFonts w:cs="Arial"/>
          <w:szCs w:val="22"/>
        </w:rPr>
        <w:t>gilt</w:t>
      </w:r>
      <w:r w:rsidRPr="009154E3">
        <w:rPr>
          <w:rFonts w:cs="Arial"/>
          <w:szCs w:val="22"/>
        </w:rPr>
        <w:t xml:space="preserve">, kann </w:t>
      </w:r>
      <w:r>
        <w:rPr>
          <w:rFonts w:cs="Arial"/>
          <w:szCs w:val="22"/>
        </w:rPr>
        <w:t xml:space="preserve">dieses als Grundlage eines VVT </w:t>
      </w:r>
      <w:r w:rsidRPr="009154E3">
        <w:rPr>
          <w:rFonts w:cs="Arial"/>
          <w:szCs w:val="22"/>
        </w:rPr>
        <w:t xml:space="preserve">Einblick in den Grad der Organisationsstruktur bieten und verschafft Aufschluss über die Dauer des Verbleibs der personenbezogenen Daten beim Verantwortlichen. </w:t>
      </w:r>
    </w:p>
    <w:p w14:paraId="15D0435C" w14:textId="465CD8E6" w:rsidR="006B0E28" w:rsidRDefault="006B0E28" w:rsidP="009154E3">
      <w:pPr>
        <w:spacing w:after="200" w:line="360" w:lineRule="auto"/>
        <w:jc w:val="both"/>
        <w:rPr>
          <w:rFonts w:cs="Arial"/>
          <w:szCs w:val="22"/>
        </w:rPr>
      </w:pPr>
      <w:r>
        <w:rPr>
          <w:rFonts w:cs="Arial"/>
          <w:szCs w:val="22"/>
        </w:rPr>
        <w:t xml:space="preserve">Darüber hinaus sind für die </w:t>
      </w:r>
      <w:r w:rsidR="007B19B9">
        <w:rPr>
          <w:rFonts w:cs="Arial"/>
          <w:szCs w:val="22"/>
        </w:rPr>
        <w:t xml:space="preserve">Hochschule </w:t>
      </w:r>
      <w:r>
        <w:rPr>
          <w:rFonts w:cs="Arial"/>
          <w:szCs w:val="22"/>
        </w:rPr>
        <w:t>a</w:t>
      </w:r>
      <w:r w:rsidR="009154E3">
        <w:rPr>
          <w:rFonts w:cs="Arial"/>
          <w:szCs w:val="22"/>
        </w:rPr>
        <w:t>ls Rechtsverpflichtete die grundlegend nötigen</w:t>
      </w:r>
      <w:r w:rsidR="009154E3" w:rsidRPr="009154E3">
        <w:rPr>
          <w:rFonts w:cs="Arial"/>
          <w:szCs w:val="22"/>
        </w:rPr>
        <w:t xml:space="preserve"> Regelungen zur Drittstaatenübermittlung</w:t>
      </w:r>
      <w:r w:rsidR="009154E3">
        <w:rPr>
          <w:rFonts w:cs="Arial"/>
          <w:szCs w:val="22"/>
        </w:rPr>
        <w:t xml:space="preserve"> </w:t>
      </w:r>
      <w:r>
        <w:rPr>
          <w:rFonts w:cs="Arial"/>
          <w:szCs w:val="22"/>
        </w:rPr>
        <w:t>aller Voraussicht nach</w:t>
      </w:r>
      <w:r w:rsidR="009154E3">
        <w:rPr>
          <w:rFonts w:cs="Arial"/>
          <w:szCs w:val="22"/>
        </w:rPr>
        <w:t xml:space="preserve"> </w:t>
      </w:r>
      <w:r>
        <w:rPr>
          <w:rFonts w:cs="Arial"/>
          <w:szCs w:val="22"/>
        </w:rPr>
        <w:t xml:space="preserve">von </w:t>
      </w:r>
      <w:r w:rsidR="009154E3">
        <w:rPr>
          <w:rFonts w:cs="Arial"/>
          <w:szCs w:val="22"/>
        </w:rPr>
        <w:t>hoher Bedeutung. Aufgrund einer internationalen Studierendenschaft und</w:t>
      </w:r>
      <w:r w:rsidR="008F2CCC">
        <w:rPr>
          <w:rFonts w:cs="Arial"/>
          <w:szCs w:val="22"/>
        </w:rPr>
        <w:t xml:space="preserve"> internationaler</w:t>
      </w:r>
      <w:r w:rsidR="009154E3">
        <w:rPr>
          <w:rFonts w:cs="Arial"/>
          <w:szCs w:val="22"/>
        </w:rPr>
        <w:t xml:space="preserve"> Forschungs</w:t>
      </w:r>
      <w:r w:rsidR="008F2CCC">
        <w:rPr>
          <w:rFonts w:cs="Arial"/>
          <w:szCs w:val="22"/>
        </w:rPr>
        <w:t xml:space="preserve">zusammenarbeit </w:t>
      </w:r>
      <w:r w:rsidR="009154E3" w:rsidRPr="009154E3">
        <w:rPr>
          <w:rFonts w:cs="Arial"/>
          <w:szCs w:val="22"/>
        </w:rPr>
        <w:t>ist die Rechtsgrundlage</w:t>
      </w:r>
      <w:r w:rsidR="008F2CCC">
        <w:rPr>
          <w:rFonts w:cs="Arial"/>
          <w:szCs w:val="22"/>
        </w:rPr>
        <w:t xml:space="preserve"> für die Übermittlung an Dritte außerhalb der EU</w:t>
      </w:r>
      <w:r w:rsidR="009154E3" w:rsidRPr="009154E3">
        <w:rPr>
          <w:rFonts w:cs="Arial"/>
          <w:szCs w:val="22"/>
        </w:rPr>
        <w:t xml:space="preserve"> zu dokumentieren (Art. 30 Abs. 1 lit. e) und ob diese für alle oder die Mehrzahl der Verarbeitungen Anwendung findet. Gleiches gilt für die Datenübermittlung an eine intern</w:t>
      </w:r>
      <w:r w:rsidR="005B70B2">
        <w:rPr>
          <w:rFonts w:cs="Arial"/>
          <w:szCs w:val="22"/>
        </w:rPr>
        <w:t>ationale Organisation, wie etwa</w:t>
      </w:r>
      <w:r w:rsidR="009154E3" w:rsidRPr="009154E3">
        <w:rPr>
          <w:rFonts w:cs="Arial"/>
          <w:szCs w:val="22"/>
        </w:rPr>
        <w:t xml:space="preserve"> Institutionen der EU. Geeignete Garantien beim Empfänger sind grundsätzlich für diese internationale Datenübermittlung erforderlich, insofern dafür kein Angemessenheitsbeschluss der EU-Kommission gemäß Art. 45 Abs. 3 DS-GVO vorliegt. Solche Garantien können gemäß Art. 46 DS-GVO durch verbindliche interne Datenschutzvorschriften (BCR) oder EU-Standardverträge erbracht werden. Liegt keine der genannten Garantien vor, sind für diesen Fall andere getroffene Garantien z</w:t>
      </w:r>
      <w:r w:rsidR="005B70B2">
        <w:rPr>
          <w:rFonts w:cs="Arial"/>
          <w:szCs w:val="22"/>
        </w:rPr>
        <w:t xml:space="preserve">u dokumentieren (Art. 49 Abs. 1 u. </w:t>
      </w:r>
      <w:r w:rsidR="009154E3" w:rsidRPr="009154E3">
        <w:rPr>
          <w:rFonts w:cs="Arial"/>
          <w:szCs w:val="22"/>
        </w:rPr>
        <w:t>Abs. 2 DS-GVO).</w:t>
      </w:r>
    </w:p>
    <w:p w14:paraId="50FE49AA" w14:textId="77777777" w:rsidR="007B19B9" w:rsidRDefault="007B19B9" w:rsidP="009154E3">
      <w:pPr>
        <w:spacing w:after="200" w:line="360" w:lineRule="auto"/>
        <w:jc w:val="both"/>
        <w:rPr>
          <w:rFonts w:cs="Arial"/>
          <w:szCs w:val="22"/>
        </w:rPr>
      </w:pPr>
    </w:p>
    <w:p w14:paraId="43AD33A5" w14:textId="77777777" w:rsidR="006B0E28" w:rsidRPr="00AD3A0E" w:rsidRDefault="006B0E28" w:rsidP="00AD3A0E">
      <w:pPr>
        <w:pStyle w:val="Untertitel"/>
        <w:rPr>
          <w:rFonts w:ascii="Times New Roman" w:hAnsi="Times New Roman" w:cs="Times New Roman"/>
          <w:i/>
          <w:color w:val="auto"/>
          <w:sz w:val="24"/>
          <w:szCs w:val="24"/>
        </w:rPr>
      </w:pPr>
      <w:r w:rsidRPr="00AD3A0E">
        <w:rPr>
          <w:rFonts w:ascii="Times New Roman" w:hAnsi="Times New Roman" w:cs="Times New Roman"/>
          <w:i/>
          <w:color w:val="auto"/>
          <w:sz w:val="24"/>
          <w:szCs w:val="24"/>
        </w:rPr>
        <w:t>Pflichtinhalte bei einzelnen Verarbeitungstätigkeiten</w:t>
      </w:r>
    </w:p>
    <w:p w14:paraId="66A3245F" w14:textId="77777777" w:rsidR="006B0E28" w:rsidRDefault="008F2CCC" w:rsidP="006B0E28">
      <w:pPr>
        <w:spacing w:after="200" w:line="360" w:lineRule="auto"/>
        <w:jc w:val="both"/>
      </w:pPr>
      <w:r>
        <w:lastRenderedPageBreak/>
        <w:t xml:space="preserve">Die vorstehend zusammengefassten Pflichtinhalte werden ergänzt von den Angaben zu den einzelnen Verarbeitungstätigkeiten innerhalb der verantwortlichen Stellen. </w:t>
      </w:r>
      <w:r w:rsidRPr="00AF5CB0">
        <w:t xml:space="preserve">Als grundlegende verarbeitungsspezifische Angaben nach Art. 30 Abs. 1 DS-GVO dient die Bezeichnung der Verarbeitungstätigkeit. Damit soll </w:t>
      </w:r>
      <w:r w:rsidR="00017833">
        <w:t>die</w:t>
      </w:r>
      <w:r w:rsidRPr="00AF5CB0">
        <w:t xml:space="preserve"> zu dokumentierende </w:t>
      </w:r>
      <w:r w:rsidR="0049128F">
        <w:t>die Verarbeitungstätigkeit</w:t>
      </w:r>
      <w:r w:rsidR="00017833">
        <w:t xml:space="preserve"> bzw. das Verfahren</w:t>
      </w:r>
      <w:r w:rsidRPr="00AF5CB0">
        <w:t xml:space="preserve"> beschrieben werden. Dafür sollte eine </w:t>
      </w:r>
      <w:r w:rsidR="006B0E28">
        <w:t>in der verantwortlichen Stelle</w:t>
      </w:r>
      <w:r w:rsidRPr="00AF5CB0">
        <w:t xml:space="preserve"> geläufige Bezeichnung des Fachprozesses gewählt werden wie zum Beispiel „Allgemeine </w:t>
      </w:r>
      <w:r w:rsidR="00B11C8F">
        <w:t>Studierenden</w:t>
      </w:r>
      <w:r w:rsidRPr="00AF5CB0">
        <w:t>verwaltung“.</w:t>
      </w:r>
      <w:r w:rsidR="006B0E28">
        <w:t xml:space="preserve"> Neben der Angabe des Verantwortlichen der </w:t>
      </w:r>
      <w:r w:rsidR="006B0E28" w:rsidRPr="006B0E28">
        <w:t>datenverarbeitenden Stelle im Rahmen der grundlegenden Angaben nach Art. 30 Abs. 1 DS-GVO ist ein für</w:t>
      </w:r>
      <w:r w:rsidRPr="006B0E28">
        <w:t xml:space="preserve"> die jeweilige Verarbeitung </w:t>
      </w:r>
      <w:r w:rsidR="00017833">
        <w:t xml:space="preserve">im Innenverhältnis </w:t>
      </w:r>
      <w:r w:rsidRPr="006B0E28">
        <w:t>Verantwortlicher</w:t>
      </w:r>
      <w:r w:rsidR="006B0E28" w:rsidRPr="006B0E28">
        <w:t xml:space="preserve"> zu benennen. Damit</w:t>
      </w:r>
      <w:r w:rsidRPr="006B0E28">
        <w:t xml:space="preserve"> soll dokumentiert werden, wer</w:t>
      </w:r>
      <w:r w:rsidRPr="00AF5CB0">
        <w:t xml:space="preserve"> nach der internen Organisationsstruktur für </w:t>
      </w:r>
      <w:r w:rsidR="0049128F">
        <w:t>die</w:t>
      </w:r>
      <w:r w:rsidRPr="00AF5CB0">
        <w:t xml:space="preserve"> konkrete </w:t>
      </w:r>
      <w:r w:rsidR="0049128F">
        <w:t>Verarbeitungstätigkeit</w:t>
      </w:r>
      <w:r w:rsidRPr="00AF5CB0">
        <w:t xml:space="preserve"> verantwortlich ist. Dafür soll der Fachbereich und die entsprechende Leitung benannt werden. Falls mehrere Verantwortliche gemeinsam für die Verarbeitungstätigkeiten verantwort</w:t>
      </w:r>
      <w:r w:rsidR="00017833">
        <w:t>lich sind, bspw. innerhalb eines</w:t>
      </w:r>
      <w:r w:rsidRPr="00AF5CB0">
        <w:t xml:space="preserve"> </w:t>
      </w:r>
      <w:r w:rsidR="00017833">
        <w:t>Organisationsverbunds</w:t>
      </w:r>
      <w:r w:rsidRPr="00AF5CB0">
        <w:t>, sind hier Name und Kontaktdaten der weit</w:t>
      </w:r>
      <w:r w:rsidR="006B0E28">
        <w:t xml:space="preserve">eren Verantwortlichen anzugeben. </w:t>
      </w:r>
    </w:p>
    <w:p w14:paraId="1BB72BC7" w14:textId="5C98AD76" w:rsidR="006B0E28" w:rsidRDefault="008F2CCC" w:rsidP="006B0E28">
      <w:pPr>
        <w:spacing w:after="200" w:line="360" w:lineRule="auto"/>
        <w:jc w:val="both"/>
      </w:pPr>
      <w:r w:rsidRPr="00AF5CB0">
        <w:t>Nach Art. 30 Abs. 1 lit. b DS-GVO muss im Verarbeitungsverzeichnis der jeweilige Zweck für jede Verarbeitung</w:t>
      </w:r>
      <w:r w:rsidR="00017833">
        <w:t>stätigkeit</w:t>
      </w:r>
      <w:r w:rsidRPr="00AF5CB0">
        <w:t xml:space="preserve"> benannt sein. Diese Zwecke der Verarbeitung sind nach Art. 5 Abs. 2 lit. b vor der Erhebung festzulegen. Von Bedeutung ist dieser Aspekt in erster Linie für die Rechtmäßigkeitsprüfung de</w:t>
      </w:r>
      <w:r w:rsidR="0049128F">
        <w:t>r</w:t>
      </w:r>
      <w:r w:rsidRPr="00AF5CB0">
        <w:t xml:space="preserve"> </w:t>
      </w:r>
      <w:r w:rsidR="0049128F">
        <w:t>Verarbeitungstätigkeit</w:t>
      </w:r>
      <w:r w:rsidRPr="00AF5CB0">
        <w:t>.</w:t>
      </w:r>
      <w:r w:rsidRPr="00AF5CB0">
        <w:rPr>
          <w:rStyle w:val="Funotenzeichen"/>
        </w:rPr>
        <w:footnoteReference w:id="11"/>
      </w:r>
      <w:r w:rsidRPr="00AF5CB0">
        <w:t xml:space="preserve"> Zudem steckt die Angabe den zulässigen Verarbeitungsrahmen mit Blick auf den Zweckbindungsgrundsatz des Art. 5 Abs. 1 lit. b ab. Als </w:t>
      </w:r>
      <w:r w:rsidR="000D5F32">
        <w:t xml:space="preserve">Zweck für die Verarbeitungstätigkeiten </w:t>
      </w:r>
      <w:r w:rsidR="000D5F32" w:rsidRPr="00AF5CB0">
        <w:t xml:space="preserve">„Auftragsbearbeitung, Buchhaltung und </w:t>
      </w:r>
      <w:r w:rsidR="000D5F32">
        <w:t xml:space="preserve">u.U. </w:t>
      </w:r>
      <w:r w:rsidR="000D5F32" w:rsidRPr="00AF5CB0">
        <w:t xml:space="preserve">Inkasso“ </w:t>
      </w:r>
      <w:r w:rsidR="000D5F32">
        <w:t>lässt sich</w:t>
      </w:r>
      <w:r w:rsidRPr="00AF5CB0">
        <w:t xml:space="preserve"> zum Beispiel </w:t>
      </w:r>
      <w:r w:rsidR="000D5F32">
        <w:t xml:space="preserve">die Buchausleihe in einer </w:t>
      </w:r>
      <w:r w:rsidR="007B19B9">
        <w:t>Hochschul</w:t>
      </w:r>
      <w:r w:rsidR="000D5F32">
        <w:t>bibliothek nennen</w:t>
      </w:r>
      <w:r w:rsidRPr="00AF5CB0">
        <w:t>. Jede Verarbeitung kann auch mehrere Zwecke umfassen, sodass auch mehrere Zweckbestimmungen angegeben werden können.</w:t>
      </w:r>
      <w:r w:rsidRPr="00AF5CB0">
        <w:rPr>
          <w:rStyle w:val="Funotenzeichen"/>
        </w:rPr>
        <w:footnoteReference w:id="12"/>
      </w:r>
      <w:r w:rsidRPr="00AF5CB0">
        <w:t xml:space="preserve"> Dabei liegt die Schwierigkeit in der Abgrenzung zwischen den Verarbeitungsvorgängen, da Fachprozesse auch von mitarbeiterbezogenen Unterstützungsprozessen begleitet sein können, die Teil eines Verarbeitungsvorgangs sein können oder eine einzelne Verarbeitung darstellen können.</w:t>
      </w:r>
    </w:p>
    <w:p w14:paraId="58AF5336" w14:textId="77777777" w:rsidR="006B0E28" w:rsidRDefault="008F2CCC" w:rsidP="006B0E28">
      <w:pPr>
        <w:spacing w:after="200" w:line="360" w:lineRule="auto"/>
        <w:jc w:val="both"/>
      </w:pPr>
      <w:r w:rsidRPr="00AF5CB0">
        <w:t xml:space="preserve">Eine Verarbeitung personenbezogener Daten ist grundsätzlich verboten, sofern Sie nicht aufgrund eines Erlaubnistatbestands legitimiert ist. </w:t>
      </w:r>
      <w:r w:rsidR="00136B54" w:rsidRPr="00136B54">
        <w:t>Die Rechtmäßigkeit ist ergibt sich aus einem der in Art. 6</w:t>
      </w:r>
      <w:r w:rsidR="00136B54">
        <w:t xml:space="preserve"> DS-GVO aufgeführten Rechtmäßigkeitstatbeständen</w:t>
      </w:r>
      <w:r w:rsidRPr="00AF5CB0">
        <w:t xml:space="preserve">. Zu nennen ist, auf welcher Grundlage die jeweilige Verarbeitung erfolgt. Die verantwortliche Stelle muss schließlich organisatorisch geregelt haben, für welche Verarbeitungsvorgänge sie eine </w:t>
      </w:r>
      <w:r w:rsidRPr="00AF5CB0">
        <w:lastRenderedPageBreak/>
        <w:t xml:space="preserve">Einwilligung bedarf oder für welche etwa eine gesetzliche Grundlage </w:t>
      </w:r>
      <w:r w:rsidR="000004E8">
        <w:t>existiert. D</w:t>
      </w:r>
      <w:r w:rsidR="000004E8" w:rsidRPr="000004E8">
        <w:t>abei ist zu beachten, dass die Einwilligung</w:t>
      </w:r>
      <w:r w:rsidR="000004E8">
        <w:t xml:space="preserve"> gemäß Art. 6 Abs. 1 lit. a DS-GVO</w:t>
      </w:r>
      <w:r w:rsidR="000004E8" w:rsidRPr="000004E8">
        <w:t xml:space="preserve"> aufgrund ihrer Widerruflichkeit immer </w:t>
      </w:r>
      <w:r w:rsidR="000004E8">
        <w:t>dann vermieden werden sollte, wenn</w:t>
      </w:r>
      <w:r w:rsidR="000004E8" w:rsidRPr="000004E8">
        <w:t xml:space="preserve"> eine gesetzliche Grundlage </w:t>
      </w:r>
      <w:r w:rsidR="000004E8">
        <w:t>vorgezogen werden kann</w:t>
      </w:r>
      <w:r w:rsidRPr="00AF5CB0">
        <w:t xml:space="preserve">. </w:t>
      </w:r>
    </w:p>
    <w:p w14:paraId="5918142F" w14:textId="77777777" w:rsidR="00530952" w:rsidRDefault="008F2CCC" w:rsidP="00530952">
      <w:pPr>
        <w:spacing w:after="200" w:line="360" w:lineRule="auto"/>
        <w:jc w:val="both"/>
      </w:pPr>
      <w:r w:rsidRPr="00AF5CB0">
        <w:t xml:space="preserve">Art. 30 Abs. 1 lit. c DS-GVO statuiert eine Pflicht zur Beschreibung der Kategorien betroffener Personen und der Kategorien personenbezogener Daten. Die von der Datenverarbeitung betroffene Personengruppe bedingt in der Regel die verarbeitete Datenkategorie. Handelt es sich um Beschäftigt als betroffene Gruppe, werden im Allgemeinen Beschäftigtendaten verarbeitet. Diese Angabe ist allerdings nicht hinreichend detailliert genug, </w:t>
      </w:r>
      <w:r w:rsidR="007B593B" w:rsidRPr="007B593B">
        <w:t xml:space="preserve">sondern muss umfassender die </w:t>
      </w:r>
      <w:r w:rsidR="007D1981" w:rsidRPr="007B593B">
        <w:t>darunterfallenden</w:t>
      </w:r>
      <w:r w:rsidR="007B593B" w:rsidRPr="007B593B">
        <w:t xml:space="preserve"> Datenkategorien </w:t>
      </w:r>
      <w:r w:rsidR="007B593B">
        <w:t>ben</w:t>
      </w:r>
      <w:r w:rsidR="007B593B" w:rsidRPr="007B593B">
        <w:t>ennen</w:t>
      </w:r>
      <w:r w:rsidRPr="00AF5CB0">
        <w:t>. Innerhalb des Beispiels der Beschäftigtendaten wären sodann Kontaktdaten, Bankverbindung, Sozialversicherungsdaten etc. berührt. Die geforderten Angaben haben maßgeblichen Einfluss auf das Risikopotenzial der Verarbeitung und ob es sich um besondere Datenkategorien nach Art. 9 handelt, die ggf. eine Datenschutz-Folgenabschätzung nach Art. 35 DS-GVO oder eine Vorabkonsultation der Aufsichtsbehörde nach Art. 36 DS-GVO verlangen.</w:t>
      </w:r>
      <w:r w:rsidRPr="00AF5CB0">
        <w:rPr>
          <w:rStyle w:val="Funotenzeichen"/>
        </w:rPr>
        <w:footnoteReference w:id="13"/>
      </w:r>
    </w:p>
    <w:p w14:paraId="0E6B8DF9" w14:textId="77777777" w:rsidR="00530952" w:rsidRDefault="008F2CCC" w:rsidP="00530952">
      <w:pPr>
        <w:spacing w:after="200" w:line="360" w:lineRule="auto"/>
        <w:jc w:val="both"/>
      </w:pPr>
      <w:r w:rsidRPr="00AF5CB0">
        <w:t>Weitere am Prozess beteiligte Stellen</w:t>
      </w:r>
      <w:r w:rsidR="00530952">
        <w:t xml:space="preserve"> nicht nur außerhalb, sondern auch</w:t>
      </w:r>
      <w:r w:rsidRPr="00AF5CB0">
        <w:t xml:space="preserve"> innerhalb der Stelle, die Daten mit Personenbezug erhalten, sind </w:t>
      </w:r>
      <w:r w:rsidR="00017833">
        <w:t xml:space="preserve">als Empfänger im Sinne des Art. 4 Nr. 9 DS-GVO </w:t>
      </w:r>
      <w:r w:rsidRPr="00AF5CB0">
        <w:t xml:space="preserve">aufzulisten. Dabei kann es sich etwa um </w:t>
      </w:r>
      <w:r w:rsidR="00530952">
        <w:t>an weitere an Prozessen beteiligte Fachabteilungen und Akteure</w:t>
      </w:r>
      <w:r w:rsidRPr="00AF5CB0">
        <w:t xml:space="preserve"> oder beauftragte</w:t>
      </w:r>
      <w:r w:rsidR="00530952">
        <w:t xml:space="preserve"> externe</w:t>
      </w:r>
      <w:r w:rsidRPr="00AF5CB0">
        <w:t xml:space="preserve"> Dienstleister wie z.B. Datenvernichter, Anwendungsentwicklung, Cloud Service Provider handeln.</w:t>
      </w:r>
      <w:r w:rsidR="00530952">
        <w:t xml:space="preserve"> </w:t>
      </w:r>
    </w:p>
    <w:p w14:paraId="4F324254" w14:textId="77777777" w:rsidR="00530952" w:rsidRDefault="008F2CCC" w:rsidP="00530952">
      <w:pPr>
        <w:spacing w:after="200" w:line="360" w:lineRule="auto"/>
        <w:jc w:val="both"/>
      </w:pPr>
      <w:r w:rsidRPr="00AF5CB0">
        <w:t xml:space="preserve">Zu benennen sind </w:t>
      </w:r>
      <w:r w:rsidR="00530952">
        <w:t xml:space="preserve">weiter </w:t>
      </w:r>
      <w:r w:rsidRPr="00AF5CB0">
        <w:t>die zeitlichen Fristen hinsichtlich des Verbleibs der personenbezogenen Daten bei der verantwortlichen Stelle (Art. 30 Abs. 1 lit. f). Die Aufbewahrungsfristen können sich aus gesetzlichen Vorgaben ergeben. Alternativ bedarf es interner Regelungen, die den Datenschutzvorschriften Rech</w:t>
      </w:r>
      <w:r w:rsidR="00017833">
        <w:t>nung tragen. Liegen konkret auf</w:t>
      </w:r>
      <w:r w:rsidRPr="00AF5CB0">
        <w:t xml:space="preserve"> </w:t>
      </w:r>
      <w:r w:rsidR="00017833">
        <w:t xml:space="preserve">die Verarbeitungstätigkeit zugeschnittene Aufbewahrungsvorgaben bzw. </w:t>
      </w:r>
      <w:r w:rsidRPr="00AF5CB0">
        <w:t>Löschkonzept</w:t>
      </w:r>
      <w:r w:rsidR="00017833">
        <w:t>e</w:t>
      </w:r>
      <w:r w:rsidRPr="00AF5CB0">
        <w:t xml:space="preserve"> vor, reicht der konkrete Verweis auf dieses vorhandene und im Verfahren umgesetzte Konzept.</w:t>
      </w:r>
    </w:p>
    <w:p w14:paraId="5627652F" w14:textId="13053606" w:rsidR="00530952" w:rsidRDefault="008F2CCC" w:rsidP="00530952">
      <w:pPr>
        <w:spacing w:after="200" w:line="360" w:lineRule="auto"/>
        <w:jc w:val="both"/>
      </w:pPr>
      <w:r w:rsidRPr="00AF5CB0">
        <w:t xml:space="preserve">Art. 30 Abs. 1 lit. g statuiert eine Pflicht zur Dokumentation der technisch-organisatorischen Maßnahmen (TOM) nach Art. 32. Im Verarbeitungsverzeichnis </w:t>
      </w:r>
      <w:r w:rsidR="13053606">
        <w:t xml:space="preserve">müssen </w:t>
      </w:r>
      <w:r w:rsidRPr="00AF5CB0">
        <w:t xml:space="preserve">die getroffenen Maßnahmen nach Art. 32 so genau </w:t>
      </w:r>
      <w:r w:rsidR="00017833">
        <w:t xml:space="preserve">zu </w:t>
      </w:r>
      <w:r w:rsidRPr="00AF5CB0">
        <w:t>beschrieben werden, dass die Datenschutzbehörden eine erste Rechtmäßigkeitsüberprüfung vornehmen können.</w:t>
      </w:r>
      <w:r w:rsidRPr="00AF5CB0">
        <w:rPr>
          <w:rStyle w:val="Funotenzeichen"/>
        </w:rPr>
        <w:footnoteReference w:id="14"/>
      </w:r>
      <w:r w:rsidRPr="00AF5CB0">
        <w:t xml:space="preserve"> Soweit sich die technischen und </w:t>
      </w:r>
      <w:r w:rsidRPr="00AF5CB0">
        <w:lastRenderedPageBreak/>
        <w:t xml:space="preserve">organisatorischen Maßnahmen schon auf vorhandenen </w:t>
      </w:r>
      <w:r w:rsidR="007A71D4" w:rsidRPr="13053606">
        <w:t xml:space="preserve">Betriebskontinuitätsmanagement-Konzepten </w:t>
      </w:r>
      <w:r w:rsidRPr="13053606">
        <w:t>und ähnliche</w:t>
      </w:r>
      <w:r w:rsidRPr="00AF5CB0">
        <w:t xml:space="preserve">m siedeln, ist ein konkreter Verweis ausreichend. Das Resultat einer etwaigen notwendigen Datenschutz-Folgenabschätzung für die Verarbeitung mit hohen Risiken in Form getroffener Sicherheitsvorkehrungen für die Verarbeitung ist optional zu dokumentieren. (Art. 35 Abs. 7 lit. d DS-GVO). </w:t>
      </w:r>
    </w:p>
    <w:p w14:paraId="7C36B2DD" w14:textId="77777777" w:rsidR="00530952" w:rsidRPr="00AD3A0E" w:rsidRDefault="008F2CCC" w:rsidP="00AD3A0E">
      <w:pPr>
        <w:pStyle w:val="Untertitel"/>
        <w:rPr>
          <w:rFonts w:ascii="Times New Roman" w:hAnsi="Times New Roman" w:cs="Times New Roman"/>
          <w:i/>
          <w:color w:val="auto"/>
          <w:sz w:val="24"/>
          <w:szCs w:val="24"/>
        </w:rPr>
      </w:pPr>
      <w:r w:rsidRPr="00AD3A0E">
        <w:rPr>
          <w:rFonts w:ascii="Times New Roman" w:hAnsi="Times New Roman" w:cs="Times New Roman"/>
          <w:i/>
          <w:color w:val="auto"/>
          <w:sz w:val="24"/>
          <w:szCs w:val="24"/>
        </w:rPr>
        <w:t>Optionale Inhalte in der Anlage</w:t>
      </w:r>
    </w:p>
    <w:p w14:paraId="5978C963" w14:textId="77777777" w:rsidR="008F2CCC" w:rsidRPr="00AF5CB0" w:rsidRDefault="008F2CCC" w:rsidP="00530952">
      <w:pPr>
        <w:spacing w:after="200" w:line="360" w:lineRule="auto"/>
        <w:jc w:val="both"/>
      </w:pPr>
      <w:r w:rsidRPr="00AF5CB0">
        <w:t xml:space="preserve">Im Hinblick auf die jeweiligen Verarbeitungstätigkeiten eines Verantwortlichen und entsprechend geltenden Datenschutzregelungen bietet sich ggf. eine weitergehende optionale Dokumentation im Verarbeitungsverzeichnis an, was intern verbleibt. Zu diesen zusätzlichen Dokumentationen, könnten gehören: </w:t>
      </w:r>
    </w:p>
    <w:p w14:paraId="09D2B39C" w14:textId="7D1DB36E" w:rsidR="008F2CCC" w:rsidRPr="00AF5CB0" w:rsidRDefault="008F2CCC" w:rsidP="003153ED">
      <w:pPr>
        <w:pStyle w:val="Listenabsatz"/>
        <w:numPr>
          <w:ilvl w:val="0"/>
          <w:numId w:val="12"/>
        </w:numPr>
        <w:spacing w:line="360" w:lineRule="auto"/>
      </w:pPr>
      <w:r w:rsidRPr="00AF5CB0">
        <w:t>Angaben zur Zusammenstellung der Informationspflichten (insbes. Art. 13,14 DS-GVO);</w:t>
      </w:r>
    </w:p>
    <w:p w14:paraId="73411693" w14:textId="74BD2C71" w:rsidR="008F2CCC" w:rsidRPr="00AF5CB0" w:rsidRDefault="008F2CCC" w:rsidP="003153ED">
      <w:pPr>
        <w:pStyle w:val="Listenabsatz"/>
        <w:numPr>
          <w:ilvl w:val="0"/>
          <w:numId w:val="12"/>
        </w:numPr>
        <w:spacing w:line="360" w:lineRule="auto"/>
      </w:pPr>
      <w:r w:rsidRPr="00AF5CB0">
        <w:t>Verträge mit Dienstleistern (Art. 28 DS-GVO);</w:t>
      </w:r>
    </w:p>
    <w:p w14:paraId="230BFA5E" w14:textId="1632820E" w:rsidR="008F2CCC" w:rsidRPr="00AF5CB0" w:rsidRDefault="008F2CCC" w:rsidP="003153ED">
      <w:pPr>
        <w:pStyle w:val="Listenabsatz"/>
        <w:numPr>
          <w:ilvl w:val="0"/>
          <w:numId w:val="12"/>
        </w:numPr>
        <w:spacing w:line="360" w:lineRule="auto"/>
      </w:pPr>
      <w:r w:rsidRPr="00AF5CB0">
        <w:t>Vereinbarungen zur gemeinsamen Verantwortung (Art. 26 DS-GVO);</w:t>
      </w:r>
    </w:p>
    <w:p w14:paraId="1D90B075" w14:textId="103304D5" w:rsidR="008F2CCC" w:rsidRPr="00AF5CB0" w:rsidRDefault="008F2CCC" w:rsidP="003153ED">
      <w:pPr>
        <w:pStyle w:val="Listenabsatz"/>
        <w:numPr>
          <w:ilvl w:val="0"/>
          <w:numId w:val="12"/>
        </w:numPr>
        <w:spacing w:line="360" w:lineRule="auto"/>
      </w:pPr>
      <w:r w:rsidRPr="00AF5CB0">
        <w:t>Eine Bewertung der Risiken der Verarbeitungstätigkeit für die Rechte und Freiheiten natürlicher Personen oder</w:t>
      </w:r>
    </w:p>
    <w:p w14:paraId="52CE36D8" w14:textId="05CB9A6E" w:rsidR="008F2CCC" w:rsidRDefault="008F2CCC" w:rsidP="003153ED">
      <w:pPr>
        <w:pStyle w:val="Listenabsatz"/>
        <w:numPr>
          <w:ilvl w:val="0"/>
          <w:numId w:val="12"/>
        </w:numPr>
        <w:spacing w:line="360" w:lineRule="auto"/>
        <w:ind w:left="703" w:hanging="703"/>
      </w:pPr>
      <w:r w:rsidRPr="00AF5CB0">
        <w:t>durchgeführte Datenschutzfolgeabschätzungen zu</w:t>
      </w:r>
      <w:r w:rsidR="0049128F">
        <w:t>r</w:t>
      </w:r>
      <w:r w:rsidRPr="00AF5CB0">
        <w:t xml:space="preserve"> </w:t>
      </w:r>
      <w:r w:rsidR="0049128F">
        <w:t>Verarbeitungstätigkeit</w:t>
      </w:r>
      <w:r w:rsidRPr="00AF5CB0">
        <w:t xml:space="preserve"> oder einzelnen Verarbeitungsschritten (Art. 35 DS-GVO).</w:t>
      </w:r>
      <w:r w:rsidRPr="003153ED">
        <w:rPr>
          <w:vertAlign w:val="superscript"/>
        </w:rPr>
        <w:footnoteReference w:id="15"/>
      </w:r>
    </w:p>
    <w:p w14:paraId="68AA9CE7" w14:textId="77777777" w:rsidR="00285EAF" w:rsidRDefault="008F2CCC" w:rsidP="00AF5CB0">
      <w:pPr>
        <w:spacing w:after="200" w:line="360" w:lineRule="auto"/>
        <w:jc w:val="both"/>
      </w:pPr>
      <w:r>
        <w:t>Sämtliche Angaben</w:t>
      </w:r>
      <w:r w:rsidR="00AF5CB0" w:rsidRPr="00AF5CB0">
        <w:t xml:space="preserve"> können natürlich noch erweitert werden, sollten aber nicht zu voluminös aufgebaut sein</w:t>
      </w:r>
      <w:r w:rsidR="00AA5A76">
        <w:t>, um das VVT noch praktikabel zu halten und nicht inhaltlich zu überfrachten</w:t>
      </w:r>
      <w:r w:rsidR="00AF5CB0" w:rsidRPr="00AF5CB0">
        <w:t>. Zum einen kann das Verzeichnis im Rahmen von Kontrollen der Aufsicht vorgelegt werden und sollte keine schutzbedürftigen Informationen wie Firmengeheimnisse enthalten. Zum anderen sollten Angaben zur allgemeinen Informationssicherheit nicht Teil des Verzeichnisses sein und von ihren Übersichten klar getrennt sein.</w:t>
      </w:r>
      <w:r w:rsidR="00AF5CB0" w:rsidRPr="00AF5CB0">
        <w:rPr>
          <w:rStyle w:val="Funotenzeichen"/>
        </w:rPr>
        <w:footnoteReference w:id="16"/>
      </w:r>
      <w:r w:rsidR="00AF5CB0" w:rsidRPr="00AF5CB0">
        <w:t xml:space="preserve"> Dagegen sinnvoll erscheint es, die getroffenen technisch-organisatorischen Maßnahmen (TOMs) mit aufzunehmen (Art. 30 Abs. 1 lit. g).</w:t>
      </w:r>
    </w:p>
    <w:p w14:paraId="59D91A3A" w14:textId="77777777" w:rsidR="00AF5CB0" w:rsidRDefault="007B593B" w:rsidP="00285EAF">
      <w:pPr>
        <w:pStyle w:val="berschrift2"/>
        <w:rPr>
          <w:rFonts w:ascii="Times New Roman" w:hAnsi="Times New Roman" w:cs="Times New Roman"/>
          <w:b/>
          <w:color w:val="auto"/>
          <w:sz w:val="24"/>
          <w:szCs w:val="24"/>
        </w:rPr>
      </w:pPr>
      <w:bookmarkStart w:id="8" w:name="_Toc1742980"/>
      <w:r>
        <w:rPr>
          <w:rFonts w:ascii="Times New Roman" w:hAnsi="Times New Roman" w:cs="Times New Roman"/>
          <w:b/>
          <w:color w:val="auto"/>
          <w:sz w:val="24"/>
          <w:szCs w:val="24"/>
        </w:rPr>
        <w:t>Rechtsfolgen bei Datenschutzverstößen: Sanktionen u.a.</w:t>
      </w:r>
      <w:bookmarkEnd w:id="8"/>
    </w:p>
    <w:p w14:paraId="60F7C7DB" w14:textId="77777777" w:rsidR="00391554" w:rsidRDefault="00AF5CB0" w:rsidP="00F00FDB">
      <w:pPr>
        <w:spacing w:after="200" w:line="360" w:lineRule="auto"/>
        <w:jc w:val="both"/>
      </w:pPr>
      <w:r w:rsidRPr="00AF5CB0">
        <w:t xml:space="preserve">Ein Verstoß gegen diese Pflicht kann gemäß Art. 83 Abs. 4 lit. a </w:t>
      </w:r>
      <w:r>
        <w:t xml:space="preserve">DS-GVO </w:t>
      </w:r>
      <w:r w:rsidR="008E7918">
        <w:t xml:space="preserve">ein Bußgeld </w:t>
      </w:r>
      <w:r w:rsidR="00493759">
        <w:t xml:space="preserve">in abschreckender Höhe </w:t>
      </w:r>
      <w:r w:rsidR="008E7918">
        <w:t>nach sich ziehen.</w:t>
      </w:r>
      <w:bookmarkEnd w:id="3"/>
      <w:r w:rsidR="00AA5A76">
        <w:t xml:space="preserve"> Nach der Regelung </w:t>
      </w:r>
      <w:r w:rsidR="00391554">
        <w:t>kann</w:t>
      </w:r>
      <w:r w:rsidR="00AA5A76">
        <w:t xml:space="preserve"> die Missachtung der </w:t>
      </w:r>
      <w:r w:rsidR="00AA5A76">
        <w:lastRenderedPageBreak/>
        <w:t xml:space="preserve">Rechtspflicht nach Art. 30 DS-GVO mit einer maximalen Bußgeldhöhe in Höhe von bis zu EUR 10.000.000,-- </w:t>
      </w:r>
      <w:r w:rsidR="00391554">
        <w:t xml:space="preserve">geahndet werden. </w:t>
      </w:r>
    </w:p>
    <w:p w14:paraId="1CBAF773" w14:textId="3161F9FA" w:rsidR="00391554" w:rsidRDefault="00391554" w:rsidP="00F00FDB">
      <w:pPr>
        <w:spacing w:after="200" w:line="360" w:lineRule="auto"/>
        <w:jc w:val="both"/>
      </w:pPr>
      <w:r>
        <w:t xml:space="preserve">Für die </w:t>
      </w:r>
      <w:r w:rsidR="007B19B9">
        <w:t>Hochschulen</w:t>
      </w:r>
      <w:r>
        <w:t xml:space="preserve"> regelt das Datenschutzgesetz Nordrhein-Westfalen</w:t>
      </w:r>
      <w:r w:rsidR="006B0E28">
        <w:rPr>
          <w:rStyle w:val="Funotenzeichen"/>
        </w:rPr>
        <w:footnoteReference w:id="17"/>
      </w:r>
      <w:r w:rsidR="00C81F9A">
        <w:t xml:space="preserve"> (DSG NRW) </w:t>
      </w:r>
      <w:r>
        <w:t>in §§ 32</w:t>
      </w:r>
      <w:r w:rsidR="003146EF">
        <w:t>, 33 Abs. 4</w:t>
      </w:r>
      <w:r>
        <w:t xml:space="preserve"> i.V.m. 5, dass gegen die </w:t>
      </w:r>
      <w:r w:rsidR="007B19B9">
        <w:t>Hochschulen</w:t>
      </w:r>
      <w:r>
        <w:t xml:space="preserve"> als öffentliche Stelle</w:t>
      </w:r>
      <w:r w:rsidR="007B19B9">
        <w:t>n</w:t>
      </w:r>
      <w:r>
        <w:t xml:space="preserve"> im datenschutzrechtlichen Sinne, hier spezifisch </w:t>
      </w:r>
      <w:r w:rsidR="003146EF">
        <w:t>als solche</w:t>
      </w:r>
      <w:r>
        <w:t xml:space="preserve"> durch § 5 Abs. 1 S. 1 DSG NRW</w:t>
      </w:r>
      <w:r w:rsidR="003146EF">
        <w:t xml:space="preserve"> qualifiziert</w:t>
      </w:r>
      <w:r>
        <w:t xml:space="preserve">, keine Geldbußen </w:t>
      </w:r>
      <w:r w:rsidR="003146EF">
        <w:t xml:space="preserve">nach DS-GVO oder nach § 33 DSG NRW </w:t>
      </w:r>
      <w:r>
        <w:t>verhängt werden dürfen.</w:t>
      </w:r>
    </w:p>
    <w:p w14:paraId="487D1B6E" w14:textId="4107BFA1" w:rsidR="007C371C" w:rsidRDefault="007C371C" w:rsidP="00CD05A5">
      <w:pPr>
        <w:spacing w:after="200" w:line="360" w:lineRule="auto"/>
        <w:jc w:val="both"/>
      </w:pPr>
      <w:r>
        <w:t xml:space="preserve">Bußgelder sind aber nur eine von verschiedenen behördlichen Maßnahmen, die sie im Fall eines Datenschutzverstoßes </w:t>
      </w:r>
      <w:r w:rsidR="00296DF8">
        <w:t>vollziehen</w:t>
      </w:r>
      <w:r>
        <w:t xml:space="preserve"> können. Art. 58 </w:t>
      </w:r>
      <w:r w:rsidRPr="007C371C">
        <w:t>Abs. 2</w:t>
      </w:r>
      <w:r>
        <w:t xml:space="preserve"> DS-GVO</w:t>
      </w:r>
      <w:r w:rsidRPr="007C371C">
        <w:t xml:space="preserve"> nennt zehn Abhilfebefugnisse, die </w:t>
      </w:r>
      <w:r>
        <w:t xml:space="preserve">den Aufsichtsbehörden zustehen: </w:t>
      </w:r>
      <w:r w:rsidRPr="007C371C">
        <w:t>Warnungen, Verwarnungen, Anweisungen, Beschränkungen, Anordnungen</w:t>
      </w:r>
      <w:r>
        <w:t>, Widerruf von Zertifizierungen sowie Geldbußen. Damit bestehen über das Bußgeld hinaus</w:t>
      </w:r>
      <w:r w:rsidRPr="007C371C">
        <w:t xml:space="preserve"> untersch</w:t>
      </w:r>
      <w:r>
        <w:t xml:space="preserve">iedliche </w:t>
      </w:r>
      <w:r w:rsidR="00296DF8">
        <w:t xml:space="preserve">weitere </w:t>
      </w:r>
      <w:r>
        <w:t xml:space="preserve">Reaktionsmöglichkeiten, die sogar </w:t>
      </w:r>
      <w:r w:rsidRPr="007C371C">
        <w:t xml:space="preserve">kumulativ </w:t>
      </w:r>
      <w:r w:rsidR="00296DF8">
        <w:t>Anwendung finden können</w:t>
      </w:r>
      <w:r w:rsidRPr="007C371C">
        <w:t>.</w:t>
      </w:r>
      <w:r>
        <w:t xml:space="preserve"> Die Abhilfebefugnisse variieren nach Schwere und Dauer des Verstoßes. Für </w:t>
      </w:r>
      <w:r w:rsidR="00CD05A5">
        <w:t>eine datenverarbeitende Stelle</w:t>
      </w:r>
      <w:r>
        <w:t xml:space="preserve"> </w:t>
      </w:r>
      <w:r w:rsidR="00CD05A5">
        <w:t xml:space="preserve">mögen Warnungen oder Verwarnungen im Falle eines Verstoßes noch milde erscheinen, doch auch die gegenüber dem Bußgeld privilegierte </w:t>
      </w:r>
      <w:r w:rsidR="007B19B9">
        <w:t>Hochschule</w:t>
      </w:r>
      <w:r w:rsidR="00CD05A5">
        <w:t xml:space="preserve"> steht vor enormen Problemen, wenn etwa Datenverarbeitungen beschränkt oder gar gänzlich verboten werden. Mit dem umfassenden Verarbeitungsbegriff nach Art. 4 Nr. 2 DS-GVO können von der Abhilfebefugnis nach Art. 58 Abs. 2 lit. f DS-GVO alle Verarbeitungsformen betroffen sein.</w:t>
      </w:r>
      <w:r w:rsidR="00CD05A5">
        <w:rPr>
          <w:rStyle w:val="Funotenzeichen"/>
        </w:rPr>
        <w:footnoteReference w:id="18"/>
      </w:r>
      <w:r w:rsidR="00296DF8">
        <w:t xml:space="preserve"> </w:t>
      </w:r>
      <w:r w:rsidR="004E7AEB">
        <w:t>Jeder Organisationsverbund ist bei seiner alltäglichen Arbeit auf die Verarbeitung personenbezogener Daten angewiesen und würde durch ein weitreichendes Verbot von Datenverarbeitungen innerhalb der verantwortlichen Stelle praktisch handlungsunfähig.</w:t>
      </w:r>
    </w:p>
    <w:p w14:paraId="3AA64923" w14:textId="77777777" w:rsidR="00C81F9A" w:rsidRDefault="00C81F9A" w:rsidP="00C81F9A">
      <w:pPr>
        <w:spacing w:after="200" w:line="360" w:lineRule="auto"/>
        <w:jc w:val="both"/>
      </w:pPr>
      <w:r>
        <w:t xml:space="preserve">Das DSG NRW normiert in Umsetzung des Art. 84 DS-GVO strafrechtliche Sanktionen für entsprechende Tatbestände. </w:t>
      </w:r>
      <w:r w:rsidR="00391554">
        <w:t>Ein</w:t>
      </w:r>
      <w:r>
        <w:t xml:space="preserve"> tatsächliches</w:t>
      </w:r>
      <w:r w:rsidR="00391554">
        <w:t xml:space="preserve"> Risiko für eine strafrechtliche Verfolgung nach § 34 DSG NRW bei der Missachtung der Rechtspflicht ein VVT </w:t>
      </w:r>
      <w:r w:rsidR="00F95C35">
        <w:t xml:space="preserve">vollständig und rechtskonform </w:t>
      </w:r>
      <w:r w:rsidR="00391554">
        <w:t xml:space="preserve">zu führen erscheint </w:t>
      </w:r>
      <w:r>
        <w:t xml:space="preserve">für die damit betrauten Beschäftigten nicht gegeben. Auch wenn öffentliche Stellen durch die Abwesenheit von öffentlich-rechtlichen und strafrechtlichen Sanktionen ein mit nicht-öffentlichen Stellen verglichenen überschaubares Sanktionsrisiko für Datenschutzvergehen aufweisen, sind sie doch ausgehend von ihrer Grundrechtsgebundenheit im Besonderen zur Einhaltung der DS-GVO und der in ihrer </w:t>
      </w:r>
      <w:r>
        <w:lastRenderedPageBreak/>
        <w:t xml:space="preserve">Umsetzung entstandenen Gesetze als Konkretisierung des Grundrechts auf informationelle Selbstbestimmung bzw. zum Schutz personenbezogener Daten verpflichtet. Die öffentlichen-rechtlich Beschäftigten und Beamten einer öffentlichen Stelle missachten ansonsten geltendes Recht und sind dafür dienstrechtlich belangbar. </w:t>
      </w:r>
    </w:p>
    <w:p w14:paraId="1850A221" w14:textId="77777777" w:rsidR="00C81F9A" w:rsidRDefault="004623B1" w:rsidP="00C81F9A">
      <w:pPr>
        <w:spacing w:after="200" w:line="360" w:lineRule="auto"/>
        <w:jc w:val="both"/>
      </w:pPr>
      <w:r>
        <w:t>Abseits des bei Bekanntwerden eines Datenschutzverstoßes drohenden Image</w:t>
      </w:r>
      <w:r w:rsidR="003E39E8">
        <w:t>-, Reputations- und Vertrauens</w:t>
      </w:r>
      <w:r>
        <w:t xml:space="preserve">verlusts für den Verantwortlichen </w:t>
      </w:r>
      <w:r w:rsidR="003E39E8">
        <w:t xml:space="preserve">besteht </w:t>
      </w:r>
      <w:r w:rsidR="00C81F9A">
        <w:t>schließlich noch</w:t>
      </w:r>
      <w:r>
        <w:t xml:space="preserve"> die Möglichkeit zivilrechtlich belangt zu werden. Der Ersatzanspruch nach Art. 82 DS-GVO für infolge von Datenschutzverstößen entstandenen – auch immateriellen – Schäden stellt eine </w:t>
      </w:r>
      <w:r w:rsidR="00530952">
        <w:t>effektivierbare</w:t>
      </w:r>
      <w:r>
        <w:t xml:space="preserve"> Rechtsfolge für den von Datenschutzverstößen Betroffenen dar. </w:t>
      </w:r>
    </w:p>
    <w:p w14:paraId="0E9DCAFF" w14:textId="0C63A9FE" w:rsidR="00076FEE" w:rsidRPr="003153ED" w:rsidRDefault="00C81F9A" w:rsidP="00B112BF">
      <w:pPr>
        <w:spacing w:after="200" w:line="360" w:lineRule="auto"/>
        <w:jc w:val="both"/>
      </w:pPr>
      <w:r>
        <w:t xml:space="preserve">Wegen alledem sollte der Stellenwert der Datenschutzkonformität auch in öffentlichen Stellen besonders hoch sein – auch insbesondere, um Sanktionen zu vermeiden. </w:t>
      </w:r>
    </w:p>
    <w:sectPr w:rsidR="00076FEE" w:rsidRPr="003153ED" w:rsidSect="007B19B9">
      <w:headerReference w:type="default" r:id="rId19"/>
      <w:footerReference w:type="default" r:id="rId2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B1C99" w14:textId="77777777" w:rsidR="00F559D0" w:rsidRDefault="00F559D0" w:rsidP="007A5C65">
      <w:pPr>
        <w:spacing w:after="0"/>
      </w:pPr>
      <w:r>
        <w:separator/>
      </w:r>
    </w:p>
  </w:endnote>
  <w:endnote w:type="continuationSeparator" w:id="0">
    <w:p w14:paraId="76B4EC99" w14:textId="77777777" w:rsidR="00F559D0" w:rsidRDefault="00F559D0" w:rsidP="007A5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56E6" w14:textId="2BB19980" w:rsidR="00DE6BFE" w:rsidRPr="007B19B9" w:rsidRDefault="007B19B9" w:rsidP="007B19B9">
    <w:pPr>
      <w:pStyle w:val="Fuzeile"/>
    </w:pPr>
    <w:r w:rsidRPr="007B19B9">
      <w:t xml:space="preserve">Erstellt von der NRW Projektgruppe „EU-DSGVO – Datenschutzmanagementsysteme“ 2018 </w:t>
    </w:r>
    <w:r w:rsidRPr="007B19B9">
      <w:tab/>
    </w:r>
    <w:r w:rsidRPr="00682DC4">
      <w:rPr>
        <w:noProof/>
      </w:rPr>
      <w:drawing>
        <wp:inline distT="0" distB="0" distL="0" distR="0" wp14:anchorId="575A8343" wp14:editId="466A9148">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B8B7F" w14:textId="77777777" w:rsidR="00F559D0" w:rsidRDefault="00F559D0" w:rsidP="007A5C65">
      <w:pPr>
        <w:spacing w:after="0"/>
      </w:pPr>
      <w:r>
        <w:separator/>
      </w:r>
    </w:p>
  </w:footnote>
  <w:footnote w:type="continuationSeparator" w:id="0">
    <w:p w14:paraId="68136E16" w14:textId="77777777" w:rsidR="00F559D0" w:rsidRDefault="00F559D0" w:rsidP="007A5C65">
      <w:pPr>
        <w:spacing w:after="0"/>
      </w:pPr>
      <w:r>
        <w:continuationSeparator/>
      </w:r>
    </w:p>
  </w:footnote>
  <w:footnote w:id="1">
    <w:p w14:paraId="4C733202" w14:textId="77777777" w:rsidR="00D636A7" w:rsidRDefault="00D636A7" w:rsidP="00D636A7">
      <w:pPr>
        <w:pStyle w:val="Funotentext"/>
        <w:jc w:val="both"/>
      </w:pPr>
      <w:r>
        <w:rPr>
          <w:rStyle w:val="Funotenzeichen"/>
        </w:rPr>
        <w:footnoteRef/>
      </w:r>
      <w:r>
        <w:t xml:space="preserve"> VO</w:t>
      </w:r>
      <w:r w:rsidRPr="00C5323F">
        <w:t xml:space="preserve"> (EU) 2016/679 des Europäischen Parlaments und des Rates zum Schutz natürlicher Personen bei der Verarbeitung personenbezogener Daten, zum freien Datenverkehr und zur Aufhebung der </w:t>
      </w:r>
      <w:r>
        <w:t>RL</w:t>
      </w:r>
      <w:r w:rsidRPr="00C5323F">
        <w:t xml:space="preserve"> 95/46/EG (Datenschutz-Grundverordnung) v. 27.4.2016, ABl. L 119 v. 4.5.2016, 1</w:t>
      </w:r>
      <w:r w:rsidRPr="00443CDD">
        <w:t>.</w:t>
      </w:r>
      <w:r>
        <w:t xml:space="preserve"> </w:t>
      </w:r>
      <w:r w:rsidRPr="00D636A7">
        <w:t>Im Folgenden: DS-GVO.</w:t>
      </w:r>
    </w:p>
  </w:footnote>
  <w:footnote w:id="2">
    <w:p w14:paraId="7A5265C4" w14:textId="77777777" w:rsidR="00F559D0" w:rsidRDefault="00F559D0" w:rsidP="00D636A7">
      <w:pPr>
        <w:pStyle w:val="Funotentext"/>
        <w:jc w:val="both"/>
      </w:pPr>
      <w:r>
        <w:rPr>
          <w:rStyle w:val="Funotenzeichen"/>
        </w:rPr>
        <w:footnoteRef/>
      </w:r>
      <w:r>
        <w:t xml:space="preserve"> ErwG. 82 DS-GVO.</w:t>
      </w:r>
    </w:p>
  </w:footnote>
  <w:footnote w:id="3">
    <w:p w14:paraId="461717C0" w14:textId="77777777" w:rsidR="00D636A7" w:rsidRDefault="00D636A7" w:rsidP="00D636A7">
      <w:pPr>
        <w:pStyle w:val="Funotentext"/>
        <w:jc w:val="both"/>
      </w:pPr>
      <w:r>
        <w:rPr>
          <w:rStyle w:val="Funotenzeichen"/>
        </w:rPr>
        <w:footnoteRef/>
      </w:r>
      <w:r>
        <w:t xml:space="preserve"> </w:t>
      </w:r>
      <w:r>
        <w:rPr>
          <w:bCs/>
        </w:rPr>
        <w:t>RL</w:t>
      </w:r>
      <w:r w:rsidRPr="00B84A16">
        <w:rPr>
          <w:bCs/>
        </w:rPr>
        <w:t xml:space="preserve"> 95/46/EG des Europäischen Parlaments und des Rates </w:t>
      </w:r>
      <w:r>
        <w:rPr>
          <w:bCs/>
        </w:rPr>
        <w:t>zum Schutz natürlicher</w:t>
      </w:r>
      <w:r w:rsidRPr="00B84A16">
        <w:rPr>
          <w:bCs/>
        </w:rPr>
        <w:t xml:space="preserve"> Personen bei der Verarbeitung pe</w:t>
      </w:r>
      <w:r>
        <w:rPr>
          <w:bCs/>
        </w:rPr>
        <w:t>rsonenbezogener Daten und zum freien Datenverkehr vom 24.10.</w:t>
      </w:r>
      <w:r w:rsidRPr="00B84A16">
        <w:rPr>
          <w:bCs/>
        </w:rPr>
        <w:t>1995, ABl. L 281 v. 23.11.1995, 31.</w:t>
      </w:r>
      <w:r w:rsidRPr="00917907">
        <w:t xml:space="preserve"> Im Folgenden: EG-DSRL</w:t>
      </w:r>
      <w:r>
        <w:t>.</w:t>
      </w:r>
    </w:p>
  </w:footnote>
  <w:footnote w:id="4">
    <w:p w14:paraId="7EF6EADA" w14:textId="77777777" w:rsidR="00F559D0" w:rsidRDefault="00F559D0" w:rsidP="000F3A0B">
      <w:pPr>
        <w:pStyle w:val="Funotentext"/>
        <w:jc w:val="both"/>
      </w:pPr>
      <w:r>
        <w:rPr>
          <w:rStyle w:val="Funotenzeichen"/>
        </w:rPr>
        <w:footnoteRef/>
      </w:r>
      <w:r>
        <w:t xml:space="preserve"> Vergleichender Überblick zwischen DS-GVO und BDSG a.F. in </w:t>
      </w:r>
      <w:r w:rsidRPr="00360A1F">
        <w:rPr>
          <w:i/>
        </w:rPr>
        <w:t>Hansen-Oest</w:t>
      </w:r>
      <w:r w:rsidRPr="00360A1F">
        <w:t xml:space="preserve">, </w:t>
      </w:r>
      <w:r>
        <w:t>PinG 2016, 79. Vgl. auch Schwartmann et al.-</w:t>
      </w:r>
      <w:r w:rsidRPr="00924C29">
        <w:rPr>
          <w:i/>
        </w:rPr>
        <w:t>Müthlein</w:t>
      </w:r>
      <w:r>
        <w:t xml:space="preserve"> Art. 30 Rn. 5; </w:t>
      </w:r>
      <w:r w:rsidRPr="00E5082F">
        <w:t>Paal/Pauly-</w:t>
      </w:r>
      <w:r>
        <w:rPr>
          <w:i/>
        </w:rPr>
        <w:t>Martini</w:t>
      </w:r>
      <w:r w:rsidRPr="00E5082F">
        <w:rPr>
          <w:i/>
        </w:rPr>
        <w:t xml:space="preserve"> </w:t>
      </w:r>
      <w:r w:rsidRPr="00E5082F">
        <w:t xml:space="preserve">Art. </w:t>
      </w:r>
      <w:r>
        <w:t>30 Rn. 4.</w:t>
      </w:r>
    </w:p>
  </w:footnote>
  <w:footnote w:id="5">
    <w:p w14:paraId="619C9FAF" w14:textId="77777777" w:rsidR="002D12F1" w:rsidRDefault="002D12F1" w:rsidP="002D12F1">
      <w:pPr>
        <w:pStyle w:val="Funotentext"/>
      </w:pPr>
      <w:r>
        <w:rPr>
          <w:rStyle w:val="Funotenzeichen"/>
        </w:rPr>
        <w:footnoteRef/>
      </w:r>
      <w:r>
        <w:t xml:space="preserve"> Datenschutzkonferenz (DSK), Kurzpapier Nr. 1: Verzeichnis von Verarbeitungstätigkeiten – Art. 30 DS-GVO, 29.6.2017, 2.</w:t>
      </w:r>
    </w:p>
  </w:footnote>
  <w:footnote w:id="6">
    <w:p w14:paraId="50A6EB64" w14:textId="77777777" w:rsidR="00F559D0" w:rsidRDefault="00F559D0" w:rsidP="00AF5CB0">
      <w:pPr>
        <w:pStyle w:val="Funotentext"/>
      </w:pPr>
      <w:r>
        <w:rPr>
          <w:rStyle w:val="Funotenzeichen"/>
        </w:rPr>
        <w:footnoteRef/>
      </w:r>
      <w:r>
        <w:t xml:space="preserve"> LDI RP, Hinweise zum Verzeichnis von Verarbeitungstätigkeiten, Art. 30 DS-GVO,</w:t>
      </w:r>
      <w:r w:rsidR="000F3A0B">
        <w:t xml:space="preserve"> 2018,</w:t>
      </w:r>
      <w:r>
        <w:t xml:space="preserve"> 1. </w:t>
      </w:r>
    </w:p>
  </w:footnote>
  <w:footnote w:id="7">
    <w:p w14:paraId="2EA14DF8" w14:textId="77777777" w:rsidR="00F559D0" w:rsidRDefault="00F559D0" w:rsidP="00855F48">
      <w:pPr>
        <w:pStyle w:val="Funotentext"/>
        <w:jc w:val="both"/>
      </w:pPr>
      <w:r>
        <w:rPr>
          <w:rStyle w:val="Funotenzeichen"/>
        </w:rPr>
        <w:footnoteRef/>
      </w:r>
      <w:r>
        <w:t xml:space="preserve"> So auch</w:t>
      </w:r>
      <w:r w:rsidRPr="006539AC">
        <w:t xml:space="preserve"> </w:t>
      </w:r>
      <w:r>
        <w:t>LDI RP, Hinweise zum Verzeichnis von Verarbeitungstätigkeiten, Art. 30 DS-GVO,</w:t>
      </w:r>
      <w:r w:rsidR="000F3A0B">
        <w:t xml:space="preserve"> 2018,</w:t>
      </w:r>
      <w:r>
        <w:t xml:space="preserve"> 3</w:t>
      </w:r>
      <w:r w:rsidR="00855F48">
        <w:t>; DSK, Kurzpapier Nr. 1: Verzeichnis von Verarbeitungstätigkeiten – Art. 30 DS-GVO, 29.6.2017, 1</w:t>
      </w:r>
      <w:r>
        <w:t>.</w:t>
      </w:r>
    </w:p>
  </w:footnote>
  <w:footnote w:id="8">
    <w:p w14:paraId="7D38F97C" w14:textId="77777777" w:rsidR="00F559D0" w:rsidRDefault="00F559D0" w:rsidP="00A6303B">
      <w:pPr>
        <w:pStyle w:val="Funotentext"/>
        <w:jc w:val="both"/>
      </w:pPr>
      <w:r>
        <w:rPr>
          <w:rStyle w:val="Funotenzeichen"/>
        </w:rPr>
        <w:footnoteRef/>
      </w:r>
      <w:r>
        <w:t xml:space="preserve"> Vgl. Art. 29-Datenschutzgruppe, WP 243 rev.01</w:t>
      </w:r>
      <w:r w:rsidR="00A6303B">
        <w:t>, 2016, bestätigt durch den Europäischen Datenschutzausschuss am 25.5.2018</w:t>
      </w:r>
      <w:r>
        <w:t>.</w:t>
      </w:r>
    </w:p>
  </w:footnote>
  <w:footnote w:id="9">
    <w:p w14:paraId="0DC7F473" w14:textId="77777777" w:rsidR="00F559D0" w:rsidRDefault="00F559D0" w:rsidP="00AF5CB0">
      <w:pPr>
        <w:pStyle w:val="Funotentext"/>
      </w:pPr>
      <w:r>
        <w:rPr>
          <w:rStyle w:val="Funotenzeichen"/>
        </w:rPr>
        <w:footnoteRef/>
      </w:r>
      <w:r>
        <w:t xml:space="preserve"> Art. 30 Abs. 4 DS-GVO; ErwG. 82 DS-GVO.</w:t>
      </w:r>
    </w:p>
  </w:footnote>
  <w:footnote w:id="10">
    <w:p w14:paraId="4AF9908E" w14:textId="77777777" w:rsidR="00021377" w:rsidRPr="00021377" w:rsidRDefault="00021377">
      <w:pPr>
        <w:pStyle w:val="Funotentext"/>
        <w:rPr>
          <w:lang w:val="en-US"/>
        </w:rPr>
      </w:pPr>
      <w:r>
        <w:rPr>
          <w:rStyle w:val="Funotenzeichen"/>
        </w:rPr>
        <w:footnoteRef/>
      </w:r>
      <w:r w:rsidRPr="00021377">
        <w:rPr>
          <w:lang w:val="en-US"/>
        </w:rPr>
        <w:t xml:space="preserve"> </w:t>
      </w:r>
      <w:r>
        <w:rPr>
          <w:lang w:val="en-US"/>
        </w:rPr>
        <w:t>Art. 4 Nr. 2 DS-GVO</w:t>
      </w:r>
    </w:p>
  </w:footnote>
  <w:footnote w:id="11">
    <w:p w14:paraId="632B7AF0" w14:textId="77777777" w:rsidR="008F2CCC" w:rsidRPr="00667551" w:rsidRDefault="008F2CCC" w:rsidP="008F2CCC">
      <w:pPr>
        <w:pStyle w:val="Funotentext"/>
        <w:rPr>
          <w:lang w:val="en-US"/>
        </w:rPr>
      </w:pPr>
      <w:r>
        <w:rPr>
          <w:rStyle w:val="Funotenzeichen"/>
        </w:rPr>
        <w:footnoteRef/>
      </w:r>
      <w:r w:rsidRPr="00667551">
        <w:rPr>
          <w:lang w:val="en-US"/>
        </w:rPr>
        <w:t xml:space="preserve"> Vgl. Paal/Pauly-</w:t>
      </w:r>
      <w:r w:rsidRPr="00667551">
        <w:rPr>
          <w:i/>
          <w:lang w:val="en-US"/>
        </w:rPr>
        <w:t xml:space="preserve">Martini </w:t>
      </w:r>
      <w:r w:rsidRPr="00667551">
        <w:rPr>
          <w:lang w:val="en-US"/>
        </w:rPr>
        <w:t>Art. 30 Rn. 8.</w:t>
      </w:r>
    </w:p>
  </w:footnote>
  <w:footnote w:id="12">
    <w:p w14:paraId="161843D9" w14:textId="77777777" w:rsidR="008F2CCC" w:rsidRDefault="008F2CCC" w:rsidP="008F2CCC">
      <w:pPr>
        <w:pStyle w:val="Funotentext"/>
      </w:pPr>
      <w:r>
        <w:rPr>
          <w:rStyle w:val="Funotenzeichen"/>
        </w:rPr>
        <w:footnoteRef/>
      </w:r>
      <w:r>
        <w:t xml:space="preserve"> Vgl. </w:t>
      </w:r>
      <w:r w:rsidRPr="00603D2B">
        <w:rPr>
          <w:bCs/>
          <w:i/>
          <w:lang w:eastAsia="en-GB"/>
        </w:rPr>
        <w:t>GDD</w:t>
      </w:r>
      <w:r w:rsidRPr="00603D2B">
        <w:rPr>
          <w:bCs/>
          <w:lang w:eastAsia="en-GB"/>
        </w:rPr>
        <w:t xml:space="preserve"> </w:t>
      </w:r>
      <w:r>
        <w:rPr>
          <w:bCs/>
          <w:lang w:eastAsia="en-GB"/>
        </w:rPr>
        <w:t xml:space="preserve">GDD-Praxishilfe DS-GVO V, </w:t>
      </w:r>
      <w:r>
        <w:t>Verzeichnis von Verarbeitungstätigkeiten</w:t>
      </w:r>
      <w:r>
        <w:rPr>
          <w:bCs/>
          <w:lang w:eastAsia="en-GB"/>
        </w:rPr>
        <w:t>, 2017, 10.</w:t>
      </w:r>
    </w:p>
  </w:footnote>
  <w:footnote w:id="13">
    <w:p w14:paraId="3BEF9C92" w14:textId="77777777" w:rsidR="008F2CCC" w:rsidRDefault="008F2CCC" w:rsidP="008F2CCC">
      <w:pPr>
        <w:pStyle w:val="Funotentext"/>
      </w:pPr>
      <w:r>
        <w:rPr>
          <w:rStyle w:val="Funotenzeichen"/>
        </w:rPr>
        <w:footnoteRef/>
      </w:r>
      <w:r>
        <w:t xml:space="preserve"> Vgl. Gola-</w:t>
      </w:r>
      <w:r w:rsidRPr="00727761">
        <w:rPr>
          <w:i/>
        </w:rPr>
        <w:t>Klug</w:t>
      </w:r>
      <w:r>
        <w:t xml:space="preserve"> Art. 30 Rn. 6.</w:t>
      </w:r>
    </w:p>
  </w:footnote>
  <w:footnote w:id="14">
    <w:p w14:paraId="7256647A" w14:textId="77777777" w:rsidR="008F2CCC" w:rsidRDefault="008F2CCC" w:rsidP="008F2CCC">
      <w:pPr>
        <w:pStyle w:val="Funotentext"/>
      </w:pPr>
      <w:r>
        <w:rPr>
          <w:rStyle w:val="Funotenzeichen"/>
        </w:rPr>
        <w:footnoteRef/>
      </w:r>
      <w:r>
        <w:t xml:space="preserve"> Vgl.</w:t>
      </w:r>
      <w:r w:rsidRPr="008E033D">
        <w:rPr>
          <w:rFonts w:cs="Arial"/>
          <w:szCs w:val="22"/>
        </w:rPr>
        <w:t xml:space="preserve"> </w:t>
      </w:r>
      <w:r>
        <w:rPr>
          <w:rFonts w:cs="Arial"/>
          <w:szCs w:val="22"/>
        </w:rPr>
        <w:t>Kühling/Buchner-</w:t>
      </w:r>
      <w:r w:rsidRPr="007D4C01">
        <w:rPr>
          <w:rFonts w:cs="Arial"/>
          <w:i/>
          <w:szCs w:val="22"/>
        </w:rPr>
        <w:t>Hartung</w:t>
      </w:r>
      <w:r>
        <w:rPr>
          <w:rFonts w:cs="Arial"/>
          <w:szCs w:val="22"/>
        </w:rPr>
        <w:t xml:space="preserve"> Art. 30 Rn. 24.</w:t>
      </w:r>
    </w:p>
  </w:footnote>
  <w:footnote w:id="15">
    <w:p w14:paraId="77599B8C" w14:textId="77777777" w:rsidR="008F2CCC" w:rsidRDefault="008F2CCC" w:rsidP="008F2CCC">
      <w:pPr>
        <w:pStyle w:val="Funotentext"/>
      </w:pPr>
      <w:r>
        <w:rPr>
          <w:rStyle w:val="Funotenzeichen"/>
        </w:rPr>
        <w:footnoteRef/>
      </w:r>
      <w:r>
        <w:t xml:space="preserve"> Vgl. </w:t>
      </w:r>
      <w:r w:rsidRPr="00603D2B">
        <w:rPr>
          <w:bCs/>
          <w:i/>
          <w:lang w:eastAsia="en-GB"/>
        </w:rPr>
        <w:t>GDD</w:t>
      </w:r>
      <w:r w:rsidRPr="00603D2B">
        <w:rPr>
          <w:bCs/>
          <w:lang w:eastAsia="en-GB"/>
        </w:rPr>
        <w:t xml:space="preserve"> </w:t>
      </w:r>
      <w:r>
        <w:rPr>
          <w:bCs/>
          <w:lang w:eastAsia="en-GB"/>
        </w:rPr>
        <w:t xml:space="preserve">GDD-Praxishilfe DS-GVO V, </w:t>
      </w:r>
      <w:r>
        <w:t>Verzeichnis von Verarbeitungstätigkeiten</w:t>
      </w:r>
      <w:r>
        <w:rPr>
          <w:bCs/>
          <w:lang w:eastAsia="en-GB"/>
        </w:rPr>
        <w:t>, 2017, 12.</w:t>
      </w:r>
    </w:p>
  </w:footnote>
  <w:footnote w:id="16">
    <w:p w14:paraId="43B1342F" w14:textId="77777777" w:rsidR="00F559D0" w:rsidRDefault="00F559D0" w:rsidP="00AF5CB0">
      <w:pPr>
        <w:pStyle w:val="Funotentext"/>
      </w:pPr>
      <w:r>
        <w:rPr>
          <w:rStyle w:val="Funotenzeichen"/>
        </w:rPr>
        <w:footnoteRef/>
      </w:r>
      <w:r>
        <w:t xml:space="preserve"> Vgl. Schwartmann et al.-</w:t>
      </w:r>
      <w:r w:rsidRPr="00924C29">
        <w:rPr>
          <w:i/>
        </w:rPr>
        <w:t>Müthlein</w:t>
      </w:r>
      <w:r>
        <w:t xml:space="preserve"> Art. 30 Rn. 10, 75.</w:t>
      </w:r>
    </w:p>
  </w:footnote>
  <w:footnote w:id="17">
    <w:p w14:paraId="002BBF54" w14:textId="77777777" w:rsidR="006B0E28" w:rsidRDefault="006B0E28">
      <w:pPr>
        <w:pStyle w:val="Funotentext"/>
      </w:pPr>
      <w:r>
        <w:rPr>
          <w:rStyle w:val="Funotenzeichen"/>
        </w:rPr>
        <w:footnoteRef/>
      </w:r>
      <w:r>
        <w:t xml:space="preserve"> </w:t>
      </w:r>
      <w:r w:rsidR="00530952">
        <w:t>Datenschutzgesetz Nordrhein-Westfalen v. 17.5.2018, GV. NRW. 244, ber. 278, 404.</w:t>
      </w:r>
    </w:p>
  </w:footnote>
  <w:footnote w:id="18">
    <w:p w14:paraId="29579B3C" w14:textId="77777777" w:rsidR="00CD05A5" w:rsidRDefault="00CD05A5">
      <w:pPr>
        <w:pStyle w:val="Funotentext"/>
      </w:pPr>
      <w:r>
        <w:rPr>
          <w:rStyle w:val="Funotenzeichen"/>
        </w:rPr>
        <w:footnoteRef/>
      </w:r>
      <w:r>
        <w:t xml:space="preserve"> Vgl. Schwartmann et al.-</w:t>
      </w:r>
      <w:r w:rsidRPr="00CD05A5">
        <w:rPr>
          <w:rFonts w:eastAsiaTheme="minorHAnsi"/>
          <w:i/>
          <w:iCs/>
          <w:color w:val="000000"/>
          <w:sz w:val="18"/>
          <w:szCs w:val="18"/>
          <w:lang w:eastAsia="en-US"/>
        </w:rPr>
        <w:t xml:space="preserve"> </w:t>
      </w:r>
      <w:r w:rsidRPr="00CD05A5">
        <w:rPr>
          <w:rFonts w:eastAsiaTheme="minorHAnsi"/>
          <w:i/>
          <w:iCs/>
          <w:color w:val="000000"/>
          <w:lang w:eastAsia="en-US"/>
        </w:rPr>
        <w:t>Kugelmann/Buchmann</w:t>
      </w:r>
      <w:r>
        <w:rPr>
          <w:rFonts w:eastAsiaTheme="minorHAnsi"/>
          <w:i/>
          <w:iCs/>
          <w:color w:val="000000"/>
          <w:sz w:val="18"/>
          <w:szCs w:val="18"/>
          <w:lang w:eastAsia="en-US"/>
        </w:rPr>
        <w:t xml:space="preserve"> </w:t>
      </w:r>
      <w:r>
        <w:t>Art. 58 Rn.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EE5BA" w14:textId="26C0E16F" w:rsidR="007B19B9" w:rsidRDefault="007B19B9">
    <w:pPr>
      <w:pStyle w:val="Kopfzeile"/>
    </w:pPr>
    <w:r w:rsidRPr="007B19B9">
      <w:t>Verzeichnis von Verarbeitungstätigkeiten des Verantwortlichen</w:t>
    </w:r>
    <w:r>
      <w:tab/>
    </w:r>
    <w:r>
      <w:fldChar w:fldCharType="begin"/>
    </w:r>
    <w:r>
      <w:instrText xml:space="preserve"> PAGE  \* Arabic  \* MERGEFORMAT </w:instrText>
    </w:r>
    <w:r>
      <w:fldChar w:fldCharType="separate"/>
    </w:r>
    <w:r w:rsidR="00910B8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9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151348"/>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872088"/>
    <w:multiLevelType w:val="hybridMultilevel"/>
    <w:tmpl w:val="4C9EC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3A6399"/>
    <w:multiLevelType w:val="hybridMultilevel"/>
    <w:tmpl w:val="7DD4B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85778CD"/>
    <w:multiLevelType w:val="hybridMultilevel"/>
    <w:tmpl w:val="F852F13C"/>
    <w:lvl w:ilvl="0" w:tplc="6AD85C44">
      <w:start w:val="28"/>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A01924"/>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3F31EFA"/>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7795226"/>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778090B"/>
    <w:multiLevelType w:val="hybridMultilevel"/>
    <w:tmpl w:val="7F3CC558"/>
    <w:lvl w:ilvl="0" w:tplc="CA106266">
      <w:numFmt w:val="bullet"/>
      <w:lvlText w:val="•"/>
      <w:lvlJc w:val="left"/>
      <w:pPr>
        <w:ind w:left="705" w:hanging="705"/>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EAE226F"/>
    <w:multiLevelType w:val="hybridMultilevel"/>
    <w:tmpl w:val="877C0DE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9"/>
  </w:num>
  <w:num w:numId="6">
    <w:abstractNumId w:val="1"/>
  </w:num>
  <w:num w:numId="7">
    <w:abstractNumId w:val="7"/>
  </w:num>
  <w:num w:numId="8">
    <w:abstractNumId w:val="5"/>
  </w:num>
  <w:num w:numId="9">
    <w:abstractNumId w:val="4"/>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65"/>
    <w:rsid w:val="000004E8"/>
    <w:rsid w:val="000031E2"/>
    <w:rsid w:val="00007A5B"/>
    <w:rsid w:val="00017833"/>
    <w:rsid w:val="00021377"/>
    <w:rsid w:val="00034F9D"/>
    <w:rsid w:val="00076FEE"/>
    <w:rsid w:val="000B0108"/>
    <w:rsid w:val="000D5F32"/>
    <w:rsid w:val="000E6AC9"/>
    <w:rsid w:val="000F3A0B"/>
    <w:rsid w:val="00136B54"/>
    <w:rsid w:val="00140492"/>
    <w:rsid w:val="00147E97"/>
    <w:rsid w:val="001979C9"/>
    <w:rsid w:val="001E574E"/>
    <w:rsid w:val="002438C2"/>
    <w:rsid w:val="00266011"/>
    <w:rsid w:val="00285EAF"/>
    <w:rsid w:val="00296DF8"/>
    <w:rsid w:val="002C46E8"/>
    <w:rsid w:val="002D12F1"/>
    <w:rsid w:val="002D4FC1"/>
    <w:rsid w:val="003146EF"/>
    <w:rsid w:val="003153ED"/>
    <w:rsid w:val="00335073"/>
    <w:rsid w:val="00360EA3"/>
    <w:rsid w:val="00391554"/>
    <w:rsid w:val="003A1320"/>
    <w:rsid w:val="003E39E8"/>
    <w:rsid w:val="003F44B1"/>
    <w:rsid w:val="00425C0F"/>
    <w:rsid w:val="004623B1"/>
    <w:rsid w:val="0049128F"/>
    <w:rsid w:val="00493759"/>
    <w:rsid w:val="004B7734"/>
    <w:rsid w:val="004E2EB8"/>
    <w:rsid w:val="004E7AEB"/>
    <w:rsid w:val="00521911"/>
    <w:rsid w:val="00525D73"/>
    <w:rsid w:val="00530952"/>
    <w:rsid w:val="00531FDA"/>
    <w:rsid w:val="00533002"/>
    <w:rsid w:val="005B70B2"/>
    <w:rsid w:val="005E1E91"/>
    <w:rsid w:val="005F7F4E"/>
    <w:rsid w:val="00651743"/>
    <w:rsid w:val="006B0E28"/>
    <w:rsid w:val="006B417F"/>
    <w:rsid w:val="006B7F5D"/>
    <w:rsid w:val="006D767A"/>
    <w:rsid w:val="00743EF0"/>
    <w:rsid w:val="00767C49"/>
    <w:rsid w:val="00793F5D"/>
    <w:rsid w:val="007A5C65"/>
    <w:rsid w:val="007A71D4"/>
    <w:rsid w:val="007B19B9"/>
    <w:rsid w:val="007B593B"/>
    <w:rsid w:val="007C371C"/>
    <w:rsid w:val="007D1981"/>
    <w:rsid w:val="00824C8E"/>
    <w:rsid w:val="00855F48"/>
    <w:rsid w:val="008E7918"/>
    <w:rsid w:val="008F2CCC"/>
    <w:rsid w:val="00910B80"/>
    <w:rsid w:val="009154E3"/>
    <w:rsid w:val="00932723"/>
    <w:rsid w:val="00993E6B"/>
    <w:rsid w:val="009B4639"/>
    <w:rsid w:val="009D1A26"/>
    <w:rsid w:val="009D5C80"/>
    <w:rsid w:val="00A313CD"/>
    <w:rsid w:val="00A4721B"/>
    <w:rsid w:val="00A6303B"/>
    <w:rsid w:val="00A701EB"/>
    <w:rsid w:val="00AA5A76"/>
    <w:rsid w:val="00AD3A0E"/>
    <w:rsid w:val="00AD3C68"/>
    <w:rsid w:val="00AF5CB0"/>
    <w:rsid w:val="00B112BF"/>
    <w:rsid w:val="00B114BE"/>
    <w:rsid w:val="00B11C8F"/>
    <w:rsid w:val="00B73F44"/>
    <w:rsid w:val="00B764BE"/>
    <w:rsid w:val="00BE418A"/>
    <w:rsid w:val="00C1228A"/>
    <w:rsid w:val="00C55CBB"/>
    <w:rsid w:val="00C801B8"/>
    <w:rsid w:val="00C80CAA"/>
    <w:rsid w:val="00C81F9A"/>
    <w:rsid w:val="00C854F2"/>
    <w:rsid w:val="00CB1F67"/>
    <w:rsid w:val="00CD05A5"/>
    <w:rsid w:val="00D636A7"/>
    <w:rsid w:val="00DE6BFE"/>
    <w:rsid w:val="00DE6CAE"/>
    <w:rsid w:val="00E226C7"/>
    <w:rsid w:val="00E5282A"/>
    <w:rsid w:val="00E60DAE"/>
    <w:rsid w:val="00EE0300"/>
    <w:rsid w:val="00EE3442"/>
    <w:rsid w:val="00EE6A20"/>
    <w:rsid w:val="00F00FDB"/>
    <w:rsid w:val="00F559D0"/>
    <w:rsid w:val="00F95C35"/>
    <w:rsid w:val="00FD23EF"/>
    <w:rsid w:val="13053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1B2F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5C65"/>
    <w:pPr>
      <w:spacing w:after="60"/>
    </w:pPr>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7B19B9"/>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B19B9"/>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qFormat/>
    <w:rsid w:val="007A5C65"/>
    <w:rPr>
      <w:sz w:val="20"/>
      <w:szCs w:val="20"/>
    </w:rPr>
  </w:style>
  <w:style w:type="character" w:customStyle="1" w:styleId="FunotentextZchn">
    <w:name w:val="Fußnotentext Zchn"/>
    <w:basedOn w:val="Absatz-Standardschriftart"/>
    <w:link w:val="Funotentext"/>
    <w:uiPriority w:val="99"/>
    <w:rsid w:val="007A5C65"/>
    <w:rPr>
      <w:rFonts w:ascii="Times New Roman" w:eastAsia="Times New Roman" w:hAnsi="Times New Roman" w:cs="Times New Roman"/>
      <w:sz w:val="20"/>
      <w:szCs w:val="20"/>
      <w:lang w:eastAsia="de-DE"/>
    </w:rPr>
  </w:style>
  <w:style w:type="paragraph" w:styleId="Textkrper">
    <w:name w:val="Body Text"/>
    <w:basedOn w:val="Standard"/>
    <w:link w:val="TextkrperZchn"/>
    <w:rsid w:val="007A5C65"/>
    <w:pPr>
      <w:spacing w:after="120"/>
    </w:pPr>
  </w:style>
  <w:style w:type="character" w:customStyle="1" w:styleId="TextkrperZchn">
    <w:name w:val="Textkörper Zchn"/>
    <w:basedOn w:val="Absatz-Standardschriftart"/>
    <w:link w:val="Textkrper"/>
    <w:rsid w:val="007A5C65"/>
    <w:rPr>
      <w:rFonts w:ascii="Times New Roman" w:eastAsia="Times New Roman" w:hAnsi="Times New Roman" w:cs="Times New Roman"/>
      <w:lang w:eastAsia="de-DE"/>
    </w:rPr>
  </w:style>
  <w:style w:type="paragraph" w:styleId="Textkrper2">
    <w:name w:val="Body Text 2"/>
    <w:basedOn w:val="Standard"/>
    <w:link w:val="Textkrper2Zchn"/>
    <w:rsid w:val="007A5C65"/>
    <w:pPr>
      <w:spacing w:after="120" w:line="480" w:lineRule="auto"/>
    </w:pPr>
  </w:style>
  <w:style w:type="character" w:customStyle="1" w:styleId="Textkrper2Zchn">
    <w:name w:val="Textkörper 2 Zchn"/>
    <w:basedOn w:val="Absatz-Standardschriftart"/>
    <w:link w:val="Textkrper2"/>
    <w:rsid w:val="007A5C65"/>
    <w:rPr>
      <w:rFonts w:ascii="Times New Roman" w:eastAsia="Times New Roman" w:hAnsi="Times New Roman" w:cs="Times New Roman"/>
      <w:lang w:eastAsia="de-DE"/>
    </w:rPr>
  </w:style>
  <w:style w:type="character" w:styleId="Funotenzeichen">
    <w:name w:val="footnote reference"/>
    <w:uiPriority w:val="99"/>
    <w:rsid w:val="007A5C65"/>
    <w:rPr>
      <w:vertAlign w:val="superscript"/>
    </w:rPr>
  </w:style>
  <w:style w:type="paragraph" w:styleId="Listenabsatz">
    <w:name w:val="List Paragraph"/>
    <w:basedOn w:val="Standard"/>
    <w:uiPriority w:val="34"/>
    <w:qFormat/>
    <w:rsid w:val="003153ED"/>
    <w:pPr>
      <w:spacing w:after="120"/>
      <w:ind w:left="720"/>
      <w:contextualSpacing/>
    </w:pPr>
  </w:style>
  <w:style w:type="table" w:styleId="Tabellenraster">
    <w:name w:val="Table Grid"/>
    <w:basedOn w:val="NormaleTabelle"/>
    <w:uiPriority w:val="39"/>
    <w:rsid w:val="00076FE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3EF0"/>
    <w:rPr>
      <w:color w:val="0563C1" w:themeColor="hyperlink"/>
      <w:u w:val="single"/>
    </w:rPr>
  </w:style>
  <w:style w:type="character" w:customStyle="1" w:styleId="NichtaufgelsteErwhnung1">
    <w:name w:val="Nicht aufgelöste Erwähnung1"/>
    <w:basedOn w:val="Absatz-Standardschriftart"/>
    <w:uiPriority w:val="99"/>
    <w:rsid w:val="00743EF0"/>
    <w:rPr>
      <w:color w:val="808080"/>
      <w:shd w:val="clear" w:color="auto" w:fill="E6E6E6"/>
    </w:rPr>
  </w:style>
  <w:style w:type="paragraph" w:styleId="Titel">
    <w:name w:val="Title"/>
    <w:basedOn w:val="Standard"/>
    <w:next w:val="Standard"/>
    <w:link w:val="TitelZchn"/>
    <w:uiPriority w:val="10"/>
    <w:qFormat/>
    <w:rsid w:val="00285EAF"/>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5EAF"/>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85E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85EAF"/>
    <w:rPr>
      <w:rFonts w:eastAsiaTheme="minorEastAsia"/>
      <w:color w:val="5A5A5A" w:themeColor="text1" w:themeTint="A5"/>
      <w:spacing w:val="15"/>
      <w:sz w:val="22"/>
      <w:szCs w:val="22"/>
      <w:lang w:eastAsia="de-DE"/>
    </w:rPr>
  </w:style>
  <w:style w:type="character" w:customStyle="1" w:styleId="berschrift1Zchn">
    <w:name w:val="Überschrift 1 Zchn"/>
    <w:basedOn w:val="Absatz-Standardschriftart"/>
    <w:link w:val="berschrift1"/>
    <w:uiPriority w:val="9"/>
    <w:rsid w:val="007B19B9"/>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285EAF"/>
    <w:pPr>
      <w:spacing w:line="259" w:lineRule="auto"/>
      <w:outlineLvl w:val="9"/>
    </w:pPr>
  </w:style>
  <w:style w:type="character" w:customStyle="1" w:styleId="berschrift2Zchn">
    <w:name w:val="Überschrift 2 Zchn"/>
    <w:basedOn w:val="Absatz-Standardschriftart"/>
    <w:link w:val="berschrift2"/>
    <w:uiPriority w:val="9"/>
    <w:rsid w:val="007B19B9"/>
    <w:rPr>
      <w:rFonts w:asciiTheme="majorHAnsi" w:eastAsiaTheme="majorEastAsia" w:hAnsiTheme="majorHAnsi" w:cstheme="majorBidi"/>
      <w:color w:val="2F5496" w:themeColor="accent1" w:themeShade="BF"/>
      <w:sz w:val="26"/>
      <w:szCs w:val="26"/>
      <w:lang w:eastAsia="de-DE"/>
    </w:rPr>
  </w:style>
  <w:style w:type="paragraph" w:styleId="Verzeichnis2">
    <w:name w:val="toc 2"/>
    <w:basedOn w:val="Standard"/>
    <w:next w:val="Standard"/>
    <w:autoRedefine/>
    <w:uiPriority w:val="39"/>
    <w:unhideWhenUsed/>
    <w:rsid w:val="007C371C"/>
    <w:pPr>
      <w:tabs>
        <w:tab w:val="right" w:leader="dot" w:pos="9056"/>
      </w:tabs>
      <w:spacing w:after="100"/>
      <w:jc w:val="both"/>
    </w:pPr>
  </w:style>
  <w:style w:type="paragraph" w:styleId="Verzeichnis1">
    <w:name w:val="toc 1"/>
    <w:basedOn w:val="Standard"/>
    <w:next w:val="Standard"/>
    <w:autoRedefine/>
    <w:uiPriority w:val="39"/>
    <w:unhideWhenUsed/>
    <w:rsid w:val="00285EAF"/>
    <w:pPr>
      <w:spacing w:after="100"/>
    </w:pPr>
  </w:style>
  <w:style w:type="paragraph" w:styleId="Sprechblasentext">
    <w:name w:val="Balloon Text"/>
    <w:basedOn w:val="Standard"/>
    <w:link w:val="SprechblasentextZchn"/>
    <w:uiPriority w:val="99"/>
    <w:semiHidden/>
    <w:unhideWhenUsed/>
    <w:rsid w:val="00AA5A7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A7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B19B9"/>
    <w:pPr>
      <w:pBdr>
        <w:bottom w:val="single" w:sz="4" w:space="1" w:color="auto"/>
      </w:pBdr>
      <w:tabs>
        <w:tab w:val="center" w:pos="4536"/>
        <w:tab w:val="right" w:pos="9072"/>
      </w:tabs>
      <w:spacing w:after="0"/>
    </w:pPr>
    <w:rPr>
      <w:sz w:val="22"/>
    </w:rPr>
  </w:style>
  <w:style w:type="character" w:customStyle="1" w:styleId="KopfzeileZchn">
    <w:name w:val="Kopfzeile Zchn"/>
    <w:basedOn w:val="Absatz-Standardschriftart"/>
    <w:link w:val="Kopfzeile"/>
    <w:uiPriority w:val="99"/>
    <w:rsid w:val="007B19B9"/>
    <w:rPr>
      <w:rFonts w:ascii="Times New Roman" w:eastAsia="Times New Roman" w:hAnsi="Times New Roman" w:cs="Times New Roman"/>
      <w:sz w:val="22"/>
      <w:lang w:eastAsia="de-DE"/>
    </w:rPr>
  </w:style>
  <w:style w:type="paragraph" w:styleId="Fuzeile">
    <w:name w:val="footer"/>
    <w:basedOn w:val="Standard"/>
    <w:link w:val="FuzeileZchn"/>
    <w:uiPriority w:val="99"/>
    <w:unhideWhenUsed/>
    <w:rsid w:val="007B19B9"/>
    <w:pPr>
      <w:tabs>
        <w:tab w:val="center" w:pos="4536"/>
        <w:tab w:val="right" w:pos="9072"/>
      </w:tabs>
      <w:spacing w:after="0"/>
    </w:pPr>
    <w:rPr>
      <w:sz w:val="22"/>
    </w:rPr>
  </w:style>
  <w:style w:type="character" w:customStyle="1" w:styleId="FuzeileZchn">
    <w:name w:val="Fußzeile Zchn"/>
    <w:basedOn w:val="Absatz-Standardschriftart"/>
    <w:link w:val="Fuzeile"/>
    <w:uiPriority w:val="99"/>
    <w:rsid w:val="007B19B9"/>
    <w:rPr>
      <w:rFonts w:ascii="Times New Roman" w:eastAsia="Times New Roman" w:hAnsi="Times New Roman" w:cs="Times New Roman"/>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5C65"/>
    <w:pPr>
      <w:spacing w:after="60"/>
    </w:pPr>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7B19B9"/>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B19B9"/>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qFormat/>
    <w:rsid w:val="007A5C65"/>
    <w:rPr>
      <w:sz w:val="20"/>
      <w:szCs w:val="20"/>
    </w:rPr>
  </w:style>
  <w:style w:type="character" w:customStyle="1" w:styleId="FunotentextZchn">
    <w:name w:val="Fußnotentext Zchn"/>
    <w:basedOn w:val="Absatz-Standardschriftart"/>
    <w:link w:val="Funotentext"/>
    <w:uiPriority w:val="99"/>
    <w:rsid w:val="007A5C65"/>
    <w:rPr>
      <w:rFonts w:ascii="Times New Roman" w:eastAsia="Times New Roman" w:hAnsi="Times New Roman" w:cs="Times New Roman"/>
      <w:sz w:val="20"/>
      <w:szCs w:val="20"/>
      <w:lang w:eastAsia="de-DE"/>
    </w:rPr>
  </w:style>
  <w:style w:type="paragraph" w:styleId="Textkrper">
    <w:name w:val="Body Text"/>
    <w:basedOn w:val="Standard"/>
    <w:link w:val="TextkrperZchn"/>
    <w:rsid w:val="007A5C65"/>
    <w:pPr>
      <w:spacing w:after="120"/>
    </w:pPr>
  </w:style>
  <w:style w:type="character" w:customStyle="1" w:styleId="TextkrperZchn">
    <w:name w:val="Textkörper Zchn"/>
    <w:basedOn w:val="Absatz-Standardschriftart"/>
    <w:link w:val="Textkrper"/>
    <w:rsid w:val="007A5C65"/>
    <w:rPr>
      <w:rFonts w:ascii="Times New Roman" w:eastAsia="Times New Roman" w:hAnsi="Times New Roman" w:cs="Times New Roman"/>
      <w:lang w:eastAsia="de-DE"/>
    </w:rPr>
  </w:style>
  <w:style w:type="paragraph" w:styleId="Textkrper2">
    <w:name w:val="Body Text 2"/>
    <w:basedOn w:val="Standard"/>
    <w:link w:val="Textkrper2Zchn"/>
    <w:rsid w:val="007A5C65"/>
    <w:pPr>
      <w:spacing w:after="120" w:line="480" w:lineRule="auto"/>
    </w:pPr>
  </w:style>
  <w:style w:type="character" w:customStyle="1" w:styleId="Textkrper2Zchn">
    <w:name w:val="Textkörper 2 Zchn"/>
    <w:basedOn w:val="Absatz-Standardschriftart"/>
    <w:link w:val="Textkrper2"/>
    <w:rsid w:val="007A5C65"/>
    <w:rPr>
      <w:rFonts w:ascii="Times New Roman" w:eastAsia="Times New Roman" w:hAnsi="Times New Roman" w:cs="Times New Roman"/>
      <w:lang w:eastAsia="de-DE"/>
    </w:rPr>
  </w:style>
  <w:style w:type="character" w:styleId="Funotenzeichen">
    <w:name w:val="footnote reference"/>
    <w:uiPriority w:val="99"/>
    <w:rsid w:val="007A5C65"/>
    <w:rPr>
      <w:vertAlign w:val="superscript"/>
    </w:rPr>
  </w:style>
  <w:style w:type="paragraph" w:styleId="Listenabsatz">
    <w:name w:val="List Paragraph"/>
    <w:basedOn w:val="Standard"/>
    <w:uiPriority w:val="34"/>
    <w:qFormat/>
    <w:rsid w:val="003153ED"/>
    <w:pPr>
      <w:spacing w:after="120"/>
      <w:ind w:left="720"/>
      <w:contextualSpacing/>
    </w:pPr>
  </w:style>
  <w:style w:type="table" w:styleId="Tabellenraster">
    <w:name w:val="Table Grid"/>
    <w:basedOn w:val="NormaleTabelle"/>
    <w:uiPriority w:val="39"/>
    <w:rsid w:val="00076FE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3EF0"/>
    <w:rPr>
      <w:color w:val="0563C1" w:themeColor="hyperlink"/>
      <w:u w:val="single"/>
    </w:rPr>
  </w:style>
  <w:style w:type="character" w:customStyle="1" w:styleId="NichtaufgelsteErwhnung1">
    <w:name w:val="Nicht aufgelöste Erwähnung1"/>
    <w:basedOn w:val="Absatz-Standardschriftart"/>
    <w:uiPriority w:val="99"/>
    <w:rsid w:val="00743EF0"/>
    <w:rPr>
      <w:color w:val="808080"/>
      <w:shd w:val="clear" w:color="auto" w:fill="E6E6E6"/>
    </w:rPr>
  </w:style>
  <w:style w:type="paragraph" w:styleId="Titel">
    <w:name w:val="Title"/>
    <w:basedOn w:val="Standard"/>
    <w:next w:val="Standard"/>
    <w:link w:val="TitelZchn"/>
    <w:uiPriority w:val="10"/>
    <w:qFormat/>
    <w:rsid w:val="00285EAF"/>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5EAF"/>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85E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85EAF"/>
    <w:rPr>
      <w:rFonts w:eastAsiaTheme="minorEastAsia"/>
      <w:color w:val="5A5A5A" w:themeColor="text1" w:themeTint="A5"/>
      <w:spacing w:val="15"/>
      <w:sz w:val="22"/>
      <w:szCs w:val="22"/>
      <w:lang w:eastAsia="de-DE"/>
    </w:rPr>
  </w:style>
  <w:style w:type="character" w:customStyle="1" w:styleId="berschrift1Zchn">
    <w:name w:val="Überschrift 1 Zchn"/>
    <w:basedOn w:val="Absatz-Standardschriftart"/>
    <w:link w:val="berschrift1"/>
    <w:uiPriority w:val="9"/>
    <w:rsid w:val="007B19B9"/>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285EAF"/>
    <w:pPr>
      <w:spacing w:line="259" w:lineRule="auto"/>
      <w:outlineLvl w:val="9"/>
    </w:pPr>
  </w:style>
  <w:style w:type="character" w:customStyle="1" w:styleId="berschrift2Zchn">
    <w:name w:val="Überschrift 2 Zchn"/>
    <w:basedOn w:val="Absatz-Standardschriftart"/>
    <w:link w:val="berschrift2"/>
    <w:uiPriority w:val="9"/>
    <w:rsid w:val="007B19B9"/>
    <w:rPr>
      <w:rFonts w:asciiTheme="majorHAnsi" w:eastAsiaTheme="majorEastAsia" w:hAnsiTheme="majorHAnsi" w:cstheme="majorBidi"/>
      <w:color w:val="2F5496" w:themeColor="accent1" w:themeShade="BF"/>
      <w:sz w:val="26"/>
      <w:szCs w:val="26"/>
      <w:lang w:eastAsia="de-DE"/>
    </w:rPr>
  </w:style>
  <w:style w:type="paragraph" w:styleId="Verzeichnis2">
    <w:name w:val="toc 2"/>
    <w:basedOn w:val="Standard"/>
    <w:next w:val="Standard"/>
    <w:autoRedefine/>
    <w:uiPriority w:val="39"/>
    <w:unhideWhenUsed/>
    <w:rsid w:val="007C371C"/>
    <w:pPr>
      <w:tabs>
        <w:tab w:val="right" w:leader="dot" w:pos="9056"/>
      </w:tabs>
      <w:spacing w:after="100"/>
      <w:jc w:val="both"/>
    </w:pPr>
  </w:style>
  <w:style w:type="paragraph" w:styleId="Verzeichnis1">
    <w:name w:val="toc 1"/>
    <w:basedOn w:val="Standard"/>
    <w:next w:val="Standard"/>
    <w:autoRedefine/>
    <w:uiPriority w:val="39"/>
    <w:unhideWhenUsed/>
    <w:rsid w:val="00285EAF"/>
    <w:pPr>
      <w:spacing w:after="100"/>
    </w:pPr>
  </w:style>
  <w:style w:type="paragraph" w:styleId="Sprechblasentext">
    <w:name w:val="Balloon Text"/>
    <w:basedOn w:val="Standard"/>
    <w:link w:val="SprechblasentextZchn"/>
    <w:uiPriority w:val="99"/>
    <w:semiHidden/>
    <w:unhideWhenUsed/>
    <w:rsid w:val="00AA5A7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A7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B19B9"/>
    <w:pPr>
      <w:pBdr>
        <w:bottom w:val="single" w:sz="4" w:space="1" w:color="auto"/>
      </w:pBdr>
      <w:tabs>
        <w:tab w:val="center" w:pos="4536"/>
        <w:tab w:val="right" w:pos="9072"/>
      </w:tabs>
      <w:spacing w:after="0"/>
    </w:pPr>
    <w:rPr>
      <w:sz w:val="22"/>
    </w:rPr>
  </w:style>
  <w:style w:type="character" w:customStyle="1" w:styleId="KopfzeileZchn">
    <w:name w:val="Kopfzeile Zchn"/>
    <w:basedOn w:val="Absatz-Standardschriftart"/>
    <w:link w:val="Kopfzeile"/>
    <w:uiPriority w:val="99"/>
    <w:rsid w:val="007B19B9"/>
    <w:rPr>
      <w:rFonts w:ascii="Times New Roman" w:eastAsia="Times New Roman" w:hAnsi="Times New Roman" w:cs="Times New Roman"/>
      <w:sz w:val="22"/>
      <w:lang w:eastAsia="de-DE"/>
    </w:rPr>
  </w:style>
  <w:style w:type="paragraph" w:styleId="Fuzeile">
    <w:name w:val="footer"/>
    <w:basedOn w:val="Standard"/>
    <w:link w:val="FuzeileZchn"/>
    <w:uiPriority w:val="99"/>
    <w:unhideWhenUsed/>
    <w:rsid w:val="007B19B9"/>
    <w:pPr>
      <w:tabs>
        <w:tab w:val="center" w:pos="4536"/>
        <w:tab w:val="right" w:pos="9072"/>
      </w:tabs>
      <w:spacing w:after="0"/>
    </w:pPr>
    <w:rPr>
      <w:sz w:val="22"/>
    </w:rPr>
  </w:style>
  <w:style w:type="character" w:customStyle="1" w:styleId="FuzeileZchn">
    <w:name w:val="Fußzeile Zchn"/>
    <w:basedOn w:val="Absatz-Standardschriftart"/>
    <w:link w:val="Fuzeile"/>
    <w:uiPriority w:val="99"/>
    <w:rsid w:val="007B19B9"/>
    <w:rPr>
      <w:rFonts w:ascii="Times New Roman" w:eastAsia="Times New Roman" w:hAnsi="Times New Roman"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73">
      <w:bodyDiv w:val="1"/>
      <w:marLeft w:val="0"/>
      <w:marRight w:val="0"/>
      <w:marTop w:val="0"/>
      <w:marBottom w:val="0"/>
      <w:divBdr>
        <w:top w:val="none" w:sz="0" w:space="0" w:color="auto"/>
        <w:left w:val="none" w:sz="0" w:space="0" w:color="auto"/>
        <w:bottom w:val="none" w:sz="0" w:space="0" w:color="auto"/>
        <w:right w:val="none" w:sz="0" w:space="0" w:color="auto"/>
      </w:divBdr>
    </w:div>
    <w:div w:id="423652938">
      <w:bodyDiv w:val="1"/>
      <w:marLeft w:val="0"/>
      <w:marRight w:val="0"/>
      <w:marTop w:val="0"/>
      <w:marBottom w:val="0"/>
      <w:divBdr>
        <w:top w:val="none" w:sz="0" w:space="0" w:color="auto"/>
        <w:left w:val="none" w:sz="0" w:space="0" w:color="auto"/>
        <w:bottom w:val="none" w:sz="0" w:space="0" w:color="auto"/>
        <w:right w:val="none" w:sz="0" w:space="0" w:color="auto"/>
      </w:divBdr>
      <w:divsChild>
        <w:div w:id="526985668">
          <w:marLeft w:val="0"/>
          <w:marRight w:val="0"/>
          <w:marTop w:val="0"/>
          <w:marBottom w:val="0"/>
          <w:divBdr>
            <w:top w:val="none" w:sz="0" w:space="0" w:color="auto"/>
            <w:left w:val="none" w:sz="0" w:space="0" w:color="auto"/>
            <w:bottom w:val="none" w:sz="0" w:space="0" w:color="auto"/>
            <w:right w:val="none" w:sz="0" w:space="0" w:color="auto"/>
          </w:divBdr>
        </w:div>
        <w:div w:id="1742604876">
          <w:marLeft w:val="0"/>
          <w:marRight w:val="0"/>
          <w:marTop w:val="0"/>
          <w:marBottom w:val="0"/>
          <w:divBdr>
            <w:top w:val="none" w:sz="0" w:space="0" w:color="auto"/>
            <w:left w:val="none" w:sz="0" w:space="0" w:color="auto"/>
            <w:bottom w:val="none" w:sz="0" w:space="0" w:color="auto"/>
            <w:right w:val="none" w:sz="0" w:space="0" w:color="auto"/>
          </w:divBdr>
        </w:div>
      </w:divsChild>
    </w:div>
    <w:div w:id="441806635">
      <w:bodyDiv w:val="1"/>
      <w:marLeft w:val="0"/>
      <w:marRight w:val="0"/>
      <w:marTop w:val="0"/>
      <w:marBottom w:val="0"/>
      <w:divBdr>
        <w:top w:val="none" w:sz="0" w:space="0" w:color="auto"/>
        <w:left w:val="none" w:sz="0" w:space="0" w:color="auto"/>
        <w:bottom w:val="none" w:sz="0" w:space="0" w:color="auto"/>
        <w:right w:val="none" w:sz="0" w:space="0" w:color="auto"/>
      </w:divBdr>
      <w:divsChild>
        <w:div w:id="1022241304">
          <w:marLeft w:val="0"/>
          <w:marRight w:val="0"/>
          <w:marTop w:val="0"/>
          <w:marBottom w:val="0"/>
          <w:divBdr>
            <w:top w:val="none" w:sz="0" w:space="0" w:color="auto"/>
            <w:left w:val="none" w:sz="0" w:space="0" w:color="auto"/>
            <w:bottom w:val="none" w:sz="0" w:space="0" w:color="auto"/>
            <w:right w:val="none" w:sz="0" w:space="0" w:color="auto"/>
          </w:divBdr>
        </w:div>
        <w:div w:id="1707606977">
          <w:marLeft w:val="0"/>
          <w:marRight w:val="0"/>
          <w:marTop w:val="0"/>
          <w:marBottom w:val="0"/>
          <w:divBdr>
            <w:top w:val="none" w:sz="0" w:space="0" w:color="auto"/>
            <w:left w:val="none" w:sz="0" w:space="0" w:color="auto"/>
            <w:bottom w:val="none" w:sz="0" w:space="0" w:color="auto"/>
            <w:right w:val="none" w:sz="0" w:space="0" w:color="auto"/>
          </w:divBdr>
        </w:div>
      </w:divsChild>
    </w:div>
    <w:div w:id="545145295">
      <w:bodyDiv w:val="1"/>
      <w:marLeft w:val="0"/>
      <w:marRight w:val="0"/>
      <w:marTop w:val="0"/>
      <w:marBottom w:val="0"/>
      <w:divBdr>
        <w:top w:val="none" w:sz="0" w:space="0" w:color="auto"/>
        <w:left w:val="none" w:sz="0" w:space="0" w:color="auto"/>
        <w:bottom w:val="none" w:sz="0" w:space="0" w:color="auto"/>
        <w:right w:val="none" w:sz="0" w:space="0" w:color="auto"/>
      </w:divBdr>
    </w:div>
    <w:div w:id="685837397">
      <w:bodyDiv w:val="1"/>
      <w:marLeft w:val="0"/>
      <w:marRight w:val="0"/>
      <w:marTop w:val="0"/>
      <w:marBottom w:val="0"/>
      <w:divBdr>
        <w:top w:val="none" w:sz="0" w:space="0" w:color="auto"/>
        <w:left w:val="none" w:sz="0" w:space="0" w:color="auto"/>
        <w:bottom w:val="none" w:sz="0" w:space="0" w:color="auto"/>
        <w:right w:val="none" w:sz="0" w:space="0" w:color="auto"/>
      </w:divBdr>
      <w:divsChild>
        <w:div w:id="1492259861">
          <w:marLeft w:val="0"/>
          <w:marRight w:val="0"/>
          <w:marTop w:val="0"/>
          <w:marBottom w:val="0"/>
          <w:divBdr>
            <w:top w:val="none" w:sz="0" w:space="0" w:color="auto"/>
            <w:left w:val="none" w:sz="0" w:space="0" w:color="auto"/>
            <w:bottom w:val="none" w:sz="0" w:space="0" w:color="auto"/>
            <w:right w:val="none" w:sz="0" w:space="0" w:color="auto"/>
          </w:divBdr>
        </w:div>
        <w:div w:id="154758913">
          <w:marLeft w:val="0"/>
          <w:marRight w:val="0"/>
          <w:marTop w:val="0"/>
          <w:marBottom w:val="0"/>
          <w:divBdr>
            <w:top w:val="none" w:sz="0" w:space="0" w:color="auto"/>
            <w:left w:val="none" w:sz="0" w:space="0" w:color="auto"/>
            <w:bottom w:val="none" w:sz="0" w:space="0" w:color="auto"/>
            <w:right w:val="none" w:sz="0" w:space="0" w:color="auto"/>
          </w:divBdr>
        </w:div>
        <w:div w:id="882526217">
          <w:marLeft w:val="0"/>
          <w:marRight w:val="0"/>
          <w:marTop w:val="0"/>
          <w:marBottom w:val="0"/>
          <w:divBdr>
            <w:top w:val="none" w:sz="0" w:space="0" w:color="auto"/>
            <w:left w:val="none" w:sz="0" w:space="0" w:color="auto"/>
            <w:bottom w:val="none" w:sz="0" w:space="0" w:color="auto"/>
            <w:right w:val="none" w:sz="0" w:space="0" w:color="auto"/>
          </w:divBdr>
        </w:div>
        <w:div w:id="813258958">
          <w:marLeft w:val="0"/>
          <w:marRight w:val="0"/>
          <w:marTop w:val="0"/>
          <w:marBottom w:val="0"/>
          <w:divBdr>
            <w:top w:val="none" w:sz="0" w:space="0" w:color="auto"/>
            <w:left w:val="none" w:sz="0" w:space="0" w:color="auto"/>
            <w:bottom w:val="none" w:sz="0" w:space="0" w:color="auto"/>
            <w:right w:val="none" w:sz="0" w:space="0" w:color="auto"/>
          </w:divBdr>
        </w:div>
        <w:div w:id="1818960647">
          <w:marLeft w:val="0"/>
          <w:marRight w:val="0"/>
          <w:marTop w:val="0"/>
          <w:marBottom w:val="0"/>
          <w:divBdr>
            <w:top w:val="none" w:sz="0" w:space="0" w:color="auto"/>
            <w:left w:val="none" w:sz="0" w:space="0" w:color="auto"/>
            <w:bottom w:val="none" w:sz="0" w:space="0" w:color="auto"/>
            <w:right w:val="none" w:sz="0" w:space="0" w:color="auto"/>
          </w:divBdr>
        </w:div>
        <w:div w:id="1176504344">
          <w:marLeft w:val="0"/>
          <w:marRight w:val="0"/>
          <w:marTop w:val="0"/>
          <w:marBottom w:val="0"/>
          <w:divBdr>
            <w:top w:val="none" w:sz="0" w:space="0" w:color="auto"/>
            <w:left w:val="none" w:sz="0" w:space="0" w:color="auto"/>
            <w:bottom w:val="none" w:sz="0" w:space="0" w:color="auto"/>
            <w:right w:val="none" w:sz="0" w:space="0" w:color="auto"/>
          </w:divBdr>
        </w:div>
        <w:div w:id="423502801">
          <w:marLeft w:val="0"/>
          <w:marRight w:val="0"/>
          <w:marTop w:val="0"/>
          <w:marBottom w:val="0"/>
          <w:divBdr>
            <w:top w:val="none" w:sz="0" w:space="0" w:color="auto"/>
            <w:left w:val="none" w:sz="0" w:space="0" w:color="auto"/>
            <w:bottom w:val="none" w:sz="0" w:space="0" w:color="auto"/>
            <w:right w:val="none" w:sz="0" w:space="0" w:color="auto"/>
          </w:divBdr>
        </w:div>
        <w:div w:id="749230272">
          <w:marLeft w:val="0"/>
          <w:marRight w:val="0"/>
          <w:marTop w:val="0"/>
          <w:marBottom w:val="0"/>
          <w:divBdr>
            <w:top w:val="none" w:sz="0" w:space="0" w:color="auto"/>
            <w:left w:val="none" w:sz="0" w:space="0" w:color="auto"/>
            <w:bottom w:val="none" w:sz="0" w:space="0" w:color="auto"/>
            <w:right w:val="none" w:sz="0" w:space="0" w:color="auto"/>
          </w:divBdr>
        </w:div>
        <w:div w:id="1503548786">
          <w:marLeft w:val="0"/>
          <w:marRight w:val="0"/>
          <w:marTop w:val="0"/>
          <w:marBottom w:val="0"/>
          <w:divBdr>
            <w:top w:val="none" w:sz="0" w:space="0" w:color="auto"/>
            <w:left w:val="none" w:sz="0" w:space="0" w:color="auto"/>
            <w:bottom w:val="none" w:sz="0" w:space="0" w:color="auto"/>
            <w:right w:val="none" w:sz="0" w:space="0" w:color="auto"/>
          </w:divBdr>
        </w:div>
      </w:divsChild>
    </w:div>
    <w:div w:id="792097102">
      <w:bodyDiv w:val="1"/>
      <w:marLeft w:val="0"/>
      <w:marRight w:val="0"/>
      <w:marTop w:val="0"/>
      <w:marBottom w:val="0"/>
      <w:divBdr>
        <w:top w:val="none" w:sz="0" w:space="0" w:color="auto"/>
        <w:left w:val="none" w:sz="0" w:space="0" w:color="auto"/>
        <w:bottom w:val="none" w:sz="0" w:space="0" w:color="auto"/>
        <w:right w:val="none" w:sz="0" w:space="0" w:color="auto"/>
      </w:divBdr>
    </w:div>
    <w:div w:id="809053155">
      <w:bodyDiv w:val="1"/>
      <w:marLeft w:val="0"/>
      <w:marRight w:val="0"/>
      <w:marTop w:val="0"/>
      <w:marBottom w:val="0"/>
      <w:divBdr>
        <w:top w:val="none" w:sz="0" w:space="0" w:color="auto"/>
        <w:left w:val="none" w:sz="0" w:space="0" w:color="auto"/>
        <w:bottom w:val="none" w:sz="0" w:space="0" w:color="auto"/>
        <w:right w:val="none" w:sz="0" w:space="0" w:color="auto"/>
      </w:divBdr>
    </w:div>
    <w:div w:id="821316574">
      <w:bodyDiv w:val="1"/>
      <w:marLeft w:val="0"/>
      <w:marRight w:val="0"/>
      <w:marTop w:val="0"/>
      <w:marBottom w:val="0"/>
      <w:divBdr>
        <w:top w:val="none" w:sz="0" w:space="0" w:color="auto"/>
        <w:left w:val="none" w:sz="0" w:space="0" w:color="auto"/>
        <w:bottom w:val="none" w:sz="0" w:space="0" w:color="auto"/>
        <w:right w:val="none" w:sz="0" w:space="0" w:color="auto"/>
      </w:divBdr>
    </w:div>
    <w:div w:id="999238995">
      <w:bodyDiv w:val="1"/>
      <w:marLeft w:val="0"/>
      <w:marRight w:val="0"/>
      <w:marTop w:val="0"/>
      <w:marBottom w:val="0"/>
      <w:divBdr>
        <w:top w:val="none" w:sz="0" w:space="0" w:color="auto"/>
        <w:left w:val="none" w:sz="0" w:space="0" w:color="auto"/>
        <w:bottom w:val="none" w:sz="0" w:space="0" w:color="auto"/>
        <w:right w:val="none" w:sz="0" w:space="0" w:color="auto"/>
      </w:divBdr>
      <w:divsChild>
        <w:div w:id="310452081">
          <w:marLeft w:val="0"/>
          <w:marRight w:val="0"/>
          <w:marTop w:val="0"/>
          <w:marBottom w:val="0"/>
          <w:divBdr>
            <w:top w:val="none" w:sz="0" w:space="0" w:color="auto"/>
            <w:left w:val="none" w:sz="0" w:space="0" w:color="auto"/>
            <w:bottom w:val="none" w:sz="0" w:space="0" w:color="auto"/>
            <w:right w:val="none" w:sz="0" w:space="0" w:color="auto"/>
          </w:divBdr>
          <w:divsChild>
            <w:div w:id="1874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6081">
      <w:bodyDiv w:val="1"/>
      <w:marLeft w:val="0"/>
      <w:marRight w:val="0"/>
      <w:marTop w:val="0"/>
      <w:marBottom w:val="0"/>
      <w:divBdr>
        <w:top w:val="none" w:sz="0" w:space="0" w:color="auto"/>
        <w:left w:val="none" w:sz="0" w:space="0" w:color="auto"/>
        <w:bottom w:val="none" w:sz="0" w:space="0" w:color="auto"/>
        <w:right w:val="none" w:sz="0" w:space="0" w:color="auto"/>
      </w:divBdr>
    </w:div>
    <w:div w:id="1038047340">
      <w:bodyDiv w:val="1"/>
      <w:marLeft w:val="0"/>
      <w:marRight w:val="0"/>
      <w:marTop w:val="0"/>
      <w:marBottom w:val="0"/>
      <w:divBdr>
        <w:top w:val="none" w:sz="0" w:space="0" w:color="auto"/>
        <w:left w:val="none" w:sz="0" w:space="0" w:color="auto"/>
        <w:bottom w:val="none" w:sz="0" w:space="0" w:color="auto"/>
        <w:right w:val="none" w:sz="0" w:space="0" w:color="auto"/>
      </w:divBdr>
    </w:div>
    <w:div w:id="1039166693">
      <w:bodyDiv w:val="1"/>
      <w:marLeft w:val="0"/>
      <w:marRight w:val="0"/>
      <w:marTop w:val="0"/>
      <w:marBottom w:val="0"/>
      <w:divBdr>
        <w:top w:val="none" w:sz="0" w:space="0" w:color="auto"/>
        <w:left w:val="none" w:sz="0" w:space="0" w:color="auto"/>
        <w:bottom w:val="none" w:sz="0" w:space="0" w:color="auto"/>
        <w:right w:val="none" w:sz="0" w:space="0" w:color="auto"/>
      </w:divBdr>
      <w:divsChild>
        <w:div w:id="826675211">
          <w:marLeft w:val="0"/>
          <w:marRight w:val="0"/>
          <w:marTop w:val="0"/>
          <w:marBottom w:val="0"/>
          <w:divBdr>
            <w:top w:val="none" w:sz="0" w:space="0" w:color="auto"/>
            <w:left w:val="none" w:sz="0" w:space="0" w:color="auto"/>
            <w:bottom w:val="none" w:sz="0" w:space="0" w:color="auto"/>
            <w:right w:val="none" w:sz="0" w:space="0" w:color="auto"/>
          </w:divBdr>
        </w:div>
        <w:div w:id="1992636211">
          <w:marLeft w:val="0"/>
          <w:marRight w:val="0"/>
          <w:marTop w:val="0"/>
          <w:marBottom w:val="0"/>
          <w:divBdr>
            <w:top w:val="none" w:sz="0" w:space="0" w:color="auto"/>
            <w:left w:val="none" w:sz="0" w:space="0" w:color="auto"/>
            <w:bottom w:val="none" w:sz="0" w:space="0" w:color="auto"/>
            <w:right w:val="none" w:sz="0" w:space="0" w:color="auto"/>
          </w:divBdr>
        </w:div>
      </w:divsChild>
    </w:div>
    <w:div w:id="1116558508">
      <w:bodyDiv w:val="1"/>
      <w:marLeft w:val="0"/>
      <w:marRight w:val="0"/>
      <w:marTop w:val="0"/>
      <w:marBottom w:val="0"/>
      <w:divBdr>
        <w:top w:val="none" w:sz="0" w:space="0" w:color="auto"/>
        <w:left w:val="none" w:sz="0" w:space="0" w:color="auto"/>
        <w:bottom w:val="none" w:sz="0" w:space="0" w:color="auto"/>
        <w:right w:val="none" w:sz="0" w:space="0" w:color="auto"/>
      </w:divBdr>
    </w:div>
    <w:div w:id="1190533904">
      <w:bodyDiv w:val="1"/>
      <w:marLeft w:val="0"/>
      <w:marRight w:val="0"/>
      <w:marTop w:val="0"/>
      <w:marBottom w:val="0"/>
      <w:divBdr>
        <w:top w:val="none" w:sz="0" w:space="0" w:color="auto"/>
        <w:left w:val="none" w:sz="0" w:space="0" w:color="auto"/>
        <w:bottom w:val="none" w:sz="0" w:space="0" w:color="auto"/>
        <w:right w:val="none" w:sz="0" w:space="0" w:color="auto"/>
      </w:divBdr>
    </w:div>
    <w:div w:id="1202787919">
      <w:bodyDiv w:val="1"/>
      <w:marLeft w:val="0"/>
      <w:marRight w:val="0"/>
      <w:marTop w:val="0"/>
      <w:marBottom w:val="0"/>
      <w:divBdr>
        <w:top w:val="none" w:sz="0" w:space="0" w:color="auto"/>
        <w:left w:val="none" w:sz="0" w:space="0" w:color="auto"/>
        <w:bottom w:val="none" w:sz="0" w:space="0" w:color="auto"/>
        <w:right w:val="none" w:sz="0" w:space="0" w:color="auto"/>
      </w:divBdr>
    </w:div>
    <w:div w:id="1202858493">
      <w:bodyDiv w:val="1"/>
      <w:marLeft w:val="0"/>
      <w:marRight w:val="0"/>
      <w:marTop w:val="0"/>
      <w:marBottom w:val="0"/>
      <w:divBdr>
        <w:top w:val="none" w:sz="0" w:space="0" w:color="auto"/>
        <w:left w:val="none" w:sz="0" w:space="0" w:color="auto"/>
        <w:bottom w:val="none" w:sz="0" w:space="0" w:color="auto"/>
        <w:right w:val="none" w:sz="0" w:space="0" w:color="auto"/>
      </w:divBdr>
    </w:div>
    <w:div w:id="1208185134">
      <w:bodyDiv w:val="1"/>
      <w:marLeft w:val="0"/>
      <w:marRight w:val="0"/>
      <w:marTop w:val="0"/>
      <w:marBottom w:val="0"/>
      <w:divBdr>
        <w:top w:val="none" w:sz="0" w:space="0" w:color="auto"/>
        <w:left w:val="none" w:sz="0" w:space="0" w:color="auto"/>
        <w:bottom w:val="none" w:sz="0" w:space="0" w:color="auto"/>
        <w:right w:val="none" w:sz="0" w:space="0" w:color="auto"/>
      </w:divBdr>
    </w:div>
    <w:div w:id="1228228754">
      <w:bodyDiv w:val="1"/>
      <w:marLeft w:val="0"/>
      <w:marRight w:val="0"/>
      <w:marTop w:val="0"/>
      <w:marBottom w:val="0"/>
      <w:divBdr>
        <w:top w:val="none" w:sz="0" w:space="0" w:color="auto"/>
        <w:left w:val="none" w:sz="0" w:space="0" w:color="auto"/>
        <w:bottom w:val="none" w:sz="0" w:space="0" w:color="auto"/>
        <w:right w:val="none" w:sz="0" w:space="0" w:color="auto"/>
      </w:divBdr>
    </w:div>
    <w:div w:id="1294944736">
      <w:bodyDiv w:val="1"/>
      <w:marLeft w:val="0"/>
      <w:marRight w:val="0"/>
      <w:marTop w:val="0"/>
      <w:marBottom w:val="0"/>
      <w:divBdr>
        <w:top w:val="none" w:sz="0" w:space="0" w:color="auto"/>
        <w:left w:val="none" w:sz="0" w:space="0" w:color="auto"/>
        <w:bottom w:val="none" w:sz="0" w:space="0" w:color="auto"/>
        <w:right w:val="none" w:sz="0" w:space="0" w:color="auto"/>
      </w:divBdr>
      <w:divsChild>
        <w:div w:id="486629455">
          <w:marLeft w:val="0"/>
          <w:marRight w:val="0"/>
          <w:marTop w:val="0"/>
          <w:marBottom w:val="0"/>
          <w:divBdr>
            <w:top w:val="none" w:sz="0" w:space="0" w:color="auto"/>
            <w:left w:val="none" w:sz="0" w:space="0" w:color="auto"/>
            <w:bottom w:val="none" w:sz="0" w:space="0" w:color="auto"/>
            <w:right w:val="none" w:sz="0" w:space="0" w:color="auto"/>
          </w:divBdr>
          <w:divsChild>
            <w:div w:id="1698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382">
      <w:bodyDiv w:val="1"/>
      <w:marLeft w:val="0"/>
      <w:marRight w:val="0"/>
      <w:marTop w:val="0"/>
      <w:marBottom w:val="0"/>
      <w:divBdr>
        <w:top w:val="none" w:sz="0" w:space="0" w:color="auto"/>
        <w:left w:val="none" w:sz="0" w:space="0" w:color="auto"/>
        <w:bottom w:val="none" w:sz="0" w:space="0" w:color="auto"/>
        <w:right w:val="none" w:sz="0" w:space="0" w:color="auto"/>
      </w:divBdr>
      <w:divsChild>
        <w:div w:id="930743196">
          <w:marLeft w:val="0"/>
          <w:marRight w:val="0"/>
          <w:marTop w:val="0"/>
          <w:marBottom w:val="0"/>
          <w:divBdr>
            <w:top w:val="none" w:sz="0" w:space="0" w:color="auto"/>
            <w:left w:val="none" w:sz="0" w:space="0" w:color="auto"/>
            <w:bottom w:val="none" w:sz="0" w:space="0" w:color="auto"/>
            <w:right w:val="none" w:sz="0" w:space="0" w:color="auto"/>
          </w:divBdr>
        </w:div>
        <w:div w:id="2106882746">
          <w:marLeft w:val="0"/>
          <w:marRight w:val="0"/>
          <w:marTop w:val="0"/>
          <w:marBottom w:val="0"/>
          <w:divBdr>
            <w:top w:val="none" w:sz="0" w:space="0" w:color="auto"/>
            <w:left w:val="none" w:sz="0" w:space="0" w:color="auto"/>
            <w:bottom w:val="none" w:sz="0" w:space="0" w:color="auto"/>
            <w:right w:val="none" w:sz="0" w:space="0" w:color="auto"/>
          </w:divBdr>
        </w:div>
      </w:divsChild>
    </w:div>
    <w:div w:id="1366830883">
      <w:bodyDiv w:val="1"/>
      <w:marLeft w:val="0"/>
      <w:marRight w:val="0"/>
      <w:marTop w:val="0"/>
      <w:marBottom w:val="0"/>
      <w:divBdr>
        <w:top w:val="none" w:sz="0" w:space="0" w:color="auto"/>
        <w:left w:val="none" w:sz="0" w:space="0" w:color="auto"/>
        <w:bottom w:val="none" w:sz="0" w:space="0" w:color="auto"/>
        <w:right w:val="none" w:sz="0" w:space="0" w:color="auto"/>
      </w:divBdr>
    </w:div>
    <w:div w:id="1545555465">
      <w:bodyDiv w:val="1"/>
      <w:marLeft w:val="0"/>
      <w:marRight w:val="0"/>
      <w:marTop w:val="0"/>
      <w:marBottom w:val="0"/>
      <w:divBdr>
        <w:top w:val="none" w:sz="0" w:space="0" w:color="auto"/>
        <w:left w:val="none" w:sz="0" w:space="0" w:color="auto"/>
        <w:bottom w:val="none" w:sz="0" w:space="0" w:color="auto"/>
        <w:right w:val="none" w:sz="0" w:space="0" w:color="auto"/>
      </w:divBdr>
    </w:div>
    <w:div w:id="1686516066">
      <w:bodyDiv w:val="1"/>
      <w:marLeft w:val="0"/>
      <w:marRight w:val="0"/>
      <w:marTop w:val="0"/>
      <w:marBottom w:val="0"/>
      <w:divBdr>
        <w:top w:val="none" w:sz="0" w:space="0" w:color="auto"/>
        <w:left w:val="none" w:sz="0" w:space="0" w:color="auto"/>
        <w:bottom w:val="none" w:sz="0" w:space="0" w:color="auto"/>
        <w:right w:val="none" w:sz="0" w:space="0" w:color="auto"/>
      </w:divBdr>
    </w:div>
    <w:div w:id="17052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750F-2FF6-4179-9593-59F95BC5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AB9470-4FFD-4A89-A7A6-3B3B8EF35B1A}">
  <ds:schemaRefs>
    <ds:schemaRef ds:uri="http://schemas.microsoft.com/sharepoint/v3/contenttype/forms"/>
  </ds:schemaRefs>
</ds:datastoreItem>
</file>

<file path=customXml/itemProps3.xml><?xml version="1.0" encoding="utf-8"?>
<ds:datastoreItem xmlns:ds="http://schemas.openxmlformats.org/officeDocument/2006/customXml" ds:itemID="{7A4D1DC1-1982-49E6-A6FA-BA27A5E2DB81}">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93441B0-BD37-4D90-9FD0-139B4C3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2669</Words>
  <Characters>16818</Characters>
  <Application>Microsoft Office Word</Application>
  <DocSecurity>0</DocSecurity>
  <Lines>140</Lines>
  <Paragraphs>38</Paragraphs>
  <ScaleCrop>false</ScaleCrop>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Grundlagen für die Erstellung von Verzeichnissen der Verarbeitungstätigkeiten</dc:title>
  <dc:subject/>
  <dc:creator>Tobias Jaquemain</dc:creator>
  <cp:keywords/>
  <dc:description/>
  <cp:lastModifiedBy>Andreas Brennecke</cp:lastModifiedBy>
  <cp:revision>5</cp:revision>
  <cp:lastPrinted>2018-11-01T14:36:00Z</cp:lastPrinted>
  <dcterms:created xsi:type="dcterms:W3CDTF">2019-02-28T10:23:00Z</dcterms:created>
  <dcterms:modified xsi:type="dcterms:W3CDTF">2019-06-14T09:15:00Z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