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912B4" w14:textId="3D76E96E" w:rsidR="00072E3B" w:rsidRPr="00E00A2E" w:rsidRDefault="00850248">
      <w:pPr>
        <w:rPr>
          <w:b/>
          <w:sz w:val="32"/>
          <w:szCs w:val="32"/>
        </w:rPr>
      </w:pPr>
      <w:bookmarkStart w:id="0" w:name="_GoBack"/>
      <w:bookmarkEnd w:id="0"/>
      <w:r w:rsidRPr="00E00A2E">
        <w:rPr>
          <w:b/>
          <w:sz w:val="32"/>
          <w:szCs w:val="32"/>
        </w:rPr>
        <w:t>Fragebogen zur Ersterfassung von Verarbeitungen</w:t>
      </w:r>
    </w:p>
    <w:p w14:paraId="2D7622EF" w14:textId="77777777" w:rsidR="00E06485" w:rsidRDefault="00E06485">
      <w:r w:rsidRPr="00D10D69">
        <w:rPr>
          <w:b/>
          <w:color w:val="FF0000"/>
        </w:rPr>
        <w:t>Wichtiger Hinweis:</w:t>
      </w:r>
      <w:r>
        <w:t xml:space="preserve"> </w:t>
      </w:r>
      <w:r w:rsidRPr="00D10D69">
        <w:rPr>
          <w:color w:val="FF0000"/>
        </w:rPr>
        <w:t>Es müssen nicht alle Fragen beantwortet werden. Bitte geben Sie den Fragebogen auch dann ab, wenn Sie nur einen Teil der Fragen beantworten können.</w:t>
      </w:r>
    </w:p>
    <w:p w14:paraId="7AAA0711" w14:textId="1D6338FB" w:rsidR="00850248" w:rsidRDefault="00E06485">
      <w:r w:rsidRPr="00E06485">
        <w:t xml:space="preserve"> </w:t>
      </w:r>
    </w:p>
    <w:p w14:paraId="028DBDF1" w14:textId="61F1FD1C" w:rsidR="00D10D69" w:rsidRPr="00D10D69" w:rsidRDefault="00D10D69" w:rsidP="00D10D69">
      <w:pPr>
        <w:rPr>
          <w:b/>
        </w:rPr>
      </w:pPr>
      <w:r w:rsidRPr="00D10D69">
        <w:rPr>
          <w:b/>
        </w:rPr>
        <w:t>Erster Abschnitt: Fragen zur Beschreibung der Verarbeitung</w:t>
      </w:r>
      <w:r>
        <w:rPr>
          <w:b/>
        </w:rPr>
        <w:t>:</w:t>
      </w:r>
    </w:p>
    <w:p w14:paraId="772CAA35" w14:textId="50FA89FE" w:rsidR="00736C89" w:rsidRDefault="00072E3B" w:rsidP="007C785F">
      <w:pPr>
        <w:pStyle w:val="Listenabsatz"/>
        <w:numPr>
          <w:ilvl w:val="0"/>
          <w:numId w:val="2"/>
        </w:numPr>
      </w:pPr>
      <w:r w:rsidRPr="007C785F">
        <w:rPr>
          <w:b/>
        </w:rPr>
        <w:t>Kurzbeschreibung der Verarbeitung:</w:t>
      </w:r>
      <w:r>
        <w:t xml:space="preserve"> (z.B. Ehemaligenverwaltung, Bewerberverwaltung, Befragung zur Nutzung von Social Media, etc.)</w:t>
      </w:r>
    </w:p>
    <w:p w14:paraId="642950E0" w14:textId="77777777" w:rsidR="00072E3B" w:rsidRDefault="00072E3B"/>
    <w:p w14:paraId="529AA8C2" w14:textId="19581703" w:rsidR="00072E3B" w:rsidRPr="007C785F" w:rsidRDefault="00072E3B" w:rsidP="007C785F">
      <w:pPr>
        <w:pStyle w:val="Listenabsatz"/>
        <w:numPr>
          <w:ilvl w:val="0"/>
          <w:numId w:val="2"/>
        </w:numPr>
        <w:rPr>
          <w:b/>
        </w:rPr>
      </w:pPr>
      <w:r w:rsidRPr="007C785F">
        <w:rPr>
          <w:b/>
        </w:rPr>
        <w:t>Welche Zwecke verfolgt die Verarbeitung?</w:t>
      </w:r>
      <w:r w:rsidR="00D04BB4" w:rsidRPr="007C785F">
        <w:rPr>
          <w:b/>
        </w:rPr>
        <w:t xml:space="preserve"> Bitte beschreiben Sie diese möglichst genau mit eigenen Worten.</w:t>
      </w:r>
    </w:p>
    <w:p w14:paraId="1763AFFA" w14:textId="77777777" w:rsidR="00072E3B" w:rsidRDefault="00072E3B"/>
    <w:p w14:paraId="708350B2" w14:textId="03487467" w:rsidR="00736C89" w:rsidRPr="007C785F" w:rsidRDefault="00736C89" w:rsidP="00D8625E">
      <w:pPr>
        <w:pStyle w:val="Listenabsatz"/>
        <w:numPr>
          <w:ilvl w:val="0"/>
          <w:numId w:val="2"/>
        </w:numPr>
        <w:rPr>
          <w:b/>
        </w:rPr>
      </w:pPr>
      <w:r w:rsidRPr="007C785F">
        <w:rPr>
          <w:b/>
        </w:rPr>
        <w:t xml:space="preserve">Welche Stelle oder welche Person entscheidet </w:t>
      </w:r>
      <w:r w:rsidR="00D8625E" w:rsidRPr="00D8625E">
        <w:rPr>
          <w:b/>
        </w:rPr>
        <w:t xml:space="preserve">auf operativer Ebene </w:t>
      </w:r>
      <w:r w:rsidRPr="007C785F">
        <w:rPr>
          <w:b/>
        </w:rPr>
        <w:t>innerhalb der Hochschule über das Ob und den Umfang der Verarbeitung</w:t>
      </w:r>
      <w:r w:rsidR="00000E3B">
        <w:rPr>
          <w:b/>
        </w:rPr>
        <w:t xml:space="preserve"> und wer hat </w:t>
      </w:r>
      <w:r w:rsidR="00806AD9">
        <w:rPr>
          <w:b/>
        </w:rPr>
        <w:t xml:space="preserve">welchen </w:t>
      </w:r>
      <w:r w:rsidR="00000E3B">
        <w:rPr>
          <w:b/>
        </w:rPr>
        <w:t>Zugriff</w:t>
      </w:r>
      <w:r w:rsidRPr="007C785F">
        <w:rPr>
          <w:b/>
        </w:rPr>
        <w:t>?</w:t>
      </w:r>
    </w:p>
    <w:p w14:paraId="5346CF55" w14:textId="5E8CE49E" w:rsidR="00072E3B" w:rsidRDefault="00072E3B"/>
    <w:p w14:paraId="427C044A" w14:textId="664EA27F" w:rsidR="00D04BB4" w:rsidRPr="007C785F" w:rsidRDefault="00850248" w:rsidP="007C785F">
      <w:pPr>
        <w:pStyle w:val="Listenabsatz"/>
        <w:numPr>
          <w:ilvl w:val="0"/>
          <w:numId w:val="2"/>
        </w:numPr>
        <w:rPr>
          <w:b/>
        </w:rPr>
      </w:pPr>
      <w:r w:rsidRPr="007C785F">
        <w:rPr>
          <w:b/>
        </w:rPr>
        <w:t>Wessen Daten werden</w:t>
      </w:r>
      <w:r w:rsidR="00072E3B" w:rsidRPr="007C785F">
        <w:rPr>
          <w:b/>
        </w:rPr>
        <w:t xml:space="preserve"> verarbeitet? </w:t>
      </w:r>
      <w:r w:rsidRPr="007C785F">
        <w:rPr>
          <w:b/>
        </w:rPr>
        <w:t>Hierbei reicht die Angabe von Personengruppen.</w:t>
      </w:r>
    </w:p>
    <w:p w14:paraId="5E2B5B16" w14:textId="75C672E3" w:rsidR="00072E3B" w:rsidRPr="00D04BB4" w:rsidRDefault="00072E3B" w:rsidP="007C785F">
      <w:pPr>
        <w:ind w:left="360"/>
        <w:rPr>
          <w:i/>
        </w:rPr>
      </w:pPr>
      <w:r w:rsidRPr="00D04BB4">
        <w:rPr>
          <w:i/>
        </w:rPr>
        <w:t xml:space="preserve">Beispiele: Studierende, </w:t>
      </w:r>
      <w:r w:rsidR="00D33529">
        <w:rPr>
          <w:i/>
        </w:rPr>
        <w:t xml:space="preserve">Studierende des Fachbereichs Sozialwissenschaften, </w:t>
      </w:r>
      <w:r w:rsidRPr="00D04BB4">
        <w:rPr>
          <w:i/>
        </w:rPr>
        <w:t>Studienbewerber, Umfrageteilnehmer, Ehemalige Studieren</w:t>
      </w:r>
      <w:r w:rsidR="00D04BB4" w:rsidRPr="00D04BB4">
        <w:rPr>
          <w:i/>
        </w:rPr>
        <w:t>de, Ehemalige Mitarbeiter, etc.</w:t>
      </w:r>
    </w:p>
    <w:p w14:paraId="44991768" w14:textId="4023DA6E" w:rsidR="00072E3B" w:rsidRDefault="00072E3B"/>
    <w:p w14:paraId="3A7F8C25" w14:textId="08A486FC" w:rsidR="00072E3B" w:rsidRDefault="00850248" w:rsidP="007C785F">
      <w:pPr>
        <w:pStyle w:val="Listenabsatz"/>
        <w:numPr>
          <w:ilvl w:val="0"/>
          <w:numId w:val="2"/>
        </w:numPr>
        <w:rPr>
          <w:b/>
        </w:rPr>
      </w:pPr>
      <w:r w:rsidRPr="007C785F">
        <w:rPr>
          <w:b/>
        </w:rPr>
        <w:t>W</w:t>
      </w:r>
      <w:r w:rsidR="001D6C36" w:rsidRPr="007C785F">
        <w:rPr>
          <w:b/>
        </w:rPr>
        <w:t xml:space="preserve">elche Informationen </w:t>
      </w:r>
      <w:r w:rsidRPr="007C785F">
        <w:rPr>
          <w:b/>
        </w:rPr>
        <w:t xml:space="preserve">werden von den </w:t>
      </w:r>
      <w:r w:rsidR="002B2A32">
        <w:rPr>
          <w:b/>
        </w:rPr>
        <w:t xml:space="preserve">in 4. </w:t>
      </w:r>
      <w:r w:rsidRPr="007C785F">
        <w:rPr>
          <w:b/>
        </w:rPr>
        <w:t xml:space="preserve">genannten Personen </w:t>
      </w:r>
      <w:r w:rsidR="001D6C36" w:rsidRPr="007C785F">
        <w:rPr>
          <w:b/>
        </w:rPr>
        <w:t xml:space="preserve">verarbeitet? </w:t>
      </w:r>
      <w:r w:rsidR="002B2A32">
        <w:rPr>
          <w:b/>
        </w:rPr>
        <w:t>Bitte geben sie die Informationen je Personengruppe an. Werden von mehreren Personengruppen identische Informationen verarbeitet, können die Angaben einfach zusammengefasst werden.</w:t>
      </w:r>
    </w:p>
    <w:p w14:paraId="2CC4F515" w14:textId="0F1390FE" w:rsidR="00603813" w:rsidRPr="00D04BB4" w:rsidRDefault="00603813" w:rsidP="00364CB9">
      <w:pPr>
        <w:ind w:firstLine="360"/>
        <w:rPr>
          <w:i/>
        </w:rPr>
      </w:pPr>
      <w:r w:rsidRPr="00D04BB4">
        <w:rPr>
          <w:i/>
        </w:rPr>
        <w:t>Beispiele:</w:t>
      </w:r>
    </w:p>
    <w:p w14:paraId="7CAE0E5A" w14:textId="06D8AAB0" w:rsidR="00603813" w:rsidRPr="00D04BB4" w:rsidRDefault="00D04BB4" w:rsidP="00364CB9">
      <w:pPr>
        <w:ind w:firstLine="360"/>
        <w:rPr>
          <w:i/>
        </w:rPr>
      </w:pPr>
      <w:r w:rsidRPr="00D04BB4">
        <w:rPr>
          <w:i/>
        </w:rPr>
        <w:t>Studienbewerber: Name, Anschrift, Private E-Mail, Telefon, Note Allgemeine Hochschulreife</w:t>
      </w:r>
    </w:p>
    <w:p w14:paraId="4118CB4C" w14:textId="57AB4F77" w:rsidR="00D04BB4" w:rsidRDefault="00D04BB4" w:rsidP="00364CB9">
      <w:pPr>
        <w:ind w:firstLine="360"/>
      </w:pPr>
      <w:r w:rsidRPr="00D04BB4">
        <w:rPr>
          <w:i/>
        </w:rPr>
        <w:t>Studierende, Ehemalige Studierende: Name, Anschrift, Matrikelnummer</w:t>
      </w:r>
      <w:r>
        <w:t xml:space="preserve"> </w:t>
      </w:r>
    </w:p>
    <w:p w14:paraId="14B570B4" w14:textId="000776EC" w:rsidR="007C785F" w:rsidRDefault="007C785F" w:rsidP="00364CB9">
      <w:pPr>
        <w:ind w:left="360"/>
        <w:rPr>
          <w:b/>
          <w:color w:val="FF0000"/>
          <w:sz w:val="18"/>
          <w:szCs w:val="18"/>
        </w:rPr>
      </w:pPr>
      <w:r w:rsidRPr="007C785F">
        <w:rPr>
          <w:b/>
          <w:color w:val="FF0000"/>
          <w:sz w:val="18"/>
          <w:szCs w:val="18"/>
        </w:rPr>
        <w:t>Hinweis: Hier muss geprüft werden, ob zu den oben genannten Zwecken gegebenenfalls auch pseudonymisierte Daten ausreichen.</w:t>
      </w:r>
    </w:p>
    <w:p w14:paraId="3969F0A2" w14:textId="3A529B74" w:rsidR="00806AD9" w:rsidRDefault="00806AD9" w:rsidP="00364CB9">
      <w:pPr>
        <w:ind w:left="360"/>
        <w:rPr>
          <w:b/>
          <w:color w:val="FF0000"/>
          <w:sz w:val="18"/>
          <w:szCs w:val="18"/>
        </w:rPr>
      </w:pPr>
      <w:r>
        <w:rPr>
          <w:b/>
          <w:color w:val="FF0000"/>
          <w:sz w:val="18"/>
          <w:szCs w:val="18"/>
        </w:rPr>
        <w:t>Hinweis: Anhand der angegebenen Daten muss geprüft werden, ob besondere Kategorien von personenbezogenen Daten verarbeitet werden.</w:t>
      </w:r>
    </w:p>
    <w:p w14:paraId="0E228464" w14:textId="77777777" w:rsidR="001B1A54" w:rsidRPr="007C785F" w:rsidRDefault="001B1A54" w:rsidP="00364CB9">
      <w:pPr>
        <w:ind w:left="360"/>
        <w:rPr>
          <w:b/>
          <w:color w:val="FF0000"/>
          <w:sz w:val="18"/>
          <w:szCs w:val="18"/>
        </w:rPr>
      </w:pPr>
    </w:p>
    <w:p w14:paraId="69EF0128" w14:textId="0997A1FF" w:rsidR="007C785F" w:rsidRDefault="00E06485" w:rsidP="00E06485">
      <w:pPr>
        <w:pStyle w:val="Listenabsatz"/>
        <w:numPr>
          <w:ilvl w:val="0"/>
          <w:numId w:val="2"/>
        </w:numPr>
        <w:rPr>
          <w:b/>
        </w:rPr>
      </w:pPr>
      <w:r>
        <w:rPr>
          <w:b/>
        </w:rPr>
        <w:t>Werden die Informationen für ein Scoring, für automatisierte Entscheidungen verwendet? Werden die Informationen über eine Videoüberwachung gewonnen?</w:t>
      </w:r>
    </w:p>
    <w:p w14:paraId="192E7919" w14:textId="01889837" w:rsidR="00E06485" w:rsidRDefault="00E06485" w:rsidP="00E06485">
      <w:pPr>
        <w:pStyle w:val="Listenabsatz"/>
        <w:rPr>
          <w:b/>
        </w:rPr>
      </w:pPr>
    </w:p>
    <w:p w14:paraId="704427E1" w14:textId="77777777" w:rsidR="00631CAE" w:rsidRPr="00E06485" w:rsidRDefault="00631CAE" w:rsidP="00E06485">
      <w:pPr>
        <w:pStyle w:val="Listenabsatz"/>
        <w:rPr>
          <w:b/>
        </w:rPr>
      </w:pPr>
    </w:p>
    <w:p w14:paraId="54256EFA" w14:textId="2CEA0CBC" w:rsidR="00000E3B" w:rsidRPr="00E06485" w:rsidRDefault="00D04BB4" w:rsidP="00E06485">
      <w:pPr>
        <w:pStyle w:val="Listenabsatz"/>
        <w:numPr>
          <w:ilvl w:val="0"/>
          <w:numId w:val="2"/>
        </w:numPr>
        <w:rPr>
          <w:b/>
        </w:rPr>
      </w:pPr>
      <w:r w:rsidRPr="00E06485">
        <w:rPr>
          <w:b/>
        </w:rPr>
        <w:t>Ist die Rechtsgrundlage der Datenverarbeitung bekannt? Diese kann sich z.B. aus einer informierten Einwilligung oder einem Gesetz ergeben, das die Verarbeitung erlaubt</w:t>
      </w:r>
      <w:r w:rsidR="00D33529" w:rsidRPr="00E06485">
        <w:rPr>
          <w:b/>
        </w:rPr>
        <w:t xml:space="preserve"> oder gar zu der Verarbeitung verpflichtet</w:t>
      </w:r>
      <w:r w:rsidRPr="00E06485">
        <w:rPr>
          <w:b/>
        </w:rPr>
        <w:t>.</w:t>
      </w:r>
    </w:p>
    <w:p w14:paraId="1CED3C0D" w14:textId="77777777" w:rsidR="00000E3B" w:rsidRPr="00000E3B" w:rsidRDefault="00000E3B" w:rsidP="00000E3B">
      <w:pPr>
        <w:pStyle w:val="Listenabsatz"/>
        <w:rPr>
          <w:b/>
        </w:rPr>
      </w:pPr>
    </w:p>
    <w:p w14:paraId="25FF00BA" w14:textId="51482A49" w:rsidR="00D33529" w:rsidRPr="00364CB9" w:rsidRDefault="00D33529" w:rsidP="00364CB9">
      <w:pPr>
        <w:pStyle w:val="Listenabsatz"/>
        <w:numPr>
          <w:ilvl w:val="0"/>
          <w:numId w:val="2"/>
        </w:numPr>
        <w:rPr>
          <w:b/>
        </w:rPr>
      </w:pPr>
      <w:r w:rsidRPr="00364CB9">
        <w:rPr>
          <w:b/>
        </w:rPr>
        <w:lastRenderedPageBreak/>
        <w:t>Haben Stellen oder Partner außerhalb der Hochschule Zugriff auf oder Einsicht in die Daten</w:t>
      </w:r>
      <w:r w:rsidR="00F97F64">
        <w:rPr>
          <w:b/>
        </w:rPr>
        <w:t xml:space="preserve"> </w:t>
      </w:r>
    </w:p>
    <w:p w14:paraId="572A5513" w14:textId="4DBDBD53" w:rsidR="00364CB9" w:rsidRDefault="00000E3B" w:rsidP="00364CB9">
      <w:pPr>
        <w:ind w:left="720"/>
        <w:rPr>
          <w:b/>
        </w:rPr>
      </w:pPr>
      <w:r>
        <w:rPr>
          <w:b/>
        </w:rPr>
        <w:t>Wenn nein: Weiter mit 9</w:t>
      </w:r>
      <w:r w:rsidR="00364CB9">
        <w:rPr>
          <w:b/>
        </w:rPr>
        <w:t>., ansonsten:</w:t>
      </w:r>
    </w:p>
    <w:p w14:paraId="571443DC" w14:textId="49AF11AD" w:rsidR="00D33529" w:rsidRDefault="002419ED" w:rsidP="00364CB9">
      <w:pPr>
        <w:ind w:left="720"/>
        <w:rPr>
          <w:b/>
        </w:rPr>
      </w:pPr>
      <w:r>
        <w:rPr>
          <w:b/>
        </w:rPr>
        <w:t>8</w:t>
      </w:r>
      <w:r w:rsidR="00364CB9">
        <w:rPr>
          <w:b/>
        </w:rPr>
        <w:t xml:space="preserve">.1 </w:t>
      </w:r>
      <w:r w:rsidR="00D33529">
        <w:rPr>
          <w:b/>
        </w:rPr>
        <w:t>Bestehen vertragliche Vereinbarungen mit den Stellen/Partnern?</w:t>
      </w:r>
    </w:p>
    <w:p w14:paraId="786FFE25" w14:textId="1825174B" w:rsidR="008126AA" w:rsidRDefault="008126AA" w:rsidP="00364CB9">
      <w:pPr>
        <w:ind w:left="720"/>
        <w:rPr>
          <w:b/>
        </w:rPr>
      </w:pPr>
      <w:r>
        <w:rPr>
          <w:b/>
          <w:color w:val="FF0000"/>
          <w:sz w:val="18"/>
          <w:szCs w:val="18"/>
        </w:rPr>
        <w:t>Hinweis: Wenn ja muss geprüft werden, ob die geprüfte Vorlage verwendet wurde. Im Zweifel muss eine Prüfung durch d</w:t>
      </w:r>
      <w:r w:rsidR="00631CAE">
        <w:rPr>
          <w:b/>
          <w:color w:val="FF0000"/>
          <w:sz w:val="18"/>
          <w:szCs w:val="18"/>
        </w:rPr>
        <w:t>ie Rechtsabteilung</w:t>
      </w:r>
      <w:r>
        <w:rPr>
          <w:b/>
          <w:color w:val="FF0000"/>
          <w:sz w:val="18"/>
          <w:szCs w:val="18"/>
        </w:rPr>
        <w:t xml:space="preserve"> oder den bDSB erfolgen.</w:t>
      </w:r>
    </w:p>
    <w:p w14:paraId="331970FC" w14:textId="298F3710" w:rsidR="00727D95" w:rsidRDefault="00727D95">
      <w:pPr>
        <w:rPr>
          <w:b/>
        </w:rPr>
      </w:pPr>
      <w:r>
        <w:rPr>
          <w:b/>
        </w:rPr>
        <w:tab/>
      </w:r>
      <w:r>
        <w:rPr>
          <w:b/>
        </w:rPr>
        <w:tab/>
        <w:t>Wenn nein: Erfolg</w:t>
      </w:r>
      <w:r w:rsidR="00626F78">
        <w:rPr>
          <w:b/>
        </w:rPr>
        <w:t>t</w:t>
      </w:r>
      <w:r>
        <w:rPr>
          <w:b/>
        </w:rPr>
        <w:t xml:space="preserve"> der Zugriff oder die Einsichtnahme aufgrund eines Gesetzes?</w:t>
      </w:r>
    </w:p>
    <w:p w14:paraId="5F107D58" w14:textId="37D99DB4" w:rsidR="00D33529" w:rsidRDefault="00D33529">
      <w:pPr>
        <w:rPr>
          <w:b/>
        </w:rPr>
      </w:pPr>
      <w:r>
        <w:rPr>
          <w:b/>
        </w:rPr>
        <w:tab/>
      </w:r>
      <w:r w:rsidR="002419ED">
        <w:rPr>
          <w:b/>
        </w:rPr>
        <w:t>8</w:t>
      </w:r>
      <w:r w:rsidR="00364CB9">
        <w:rPr>
          <w:b/>
        </w:rPr>
        <w:t xml:space="preserve">.2 </w:t>
      </w:r>
      <w:r w:rsidR="00806AD9">
        <w:rPr>
          <w:b/>
        </w:rPr>
        <w:t>Sitzt eine</w:t>
      </w:r>
      <w:r>
        <w:rPr>
          <w:b/>
        </w:rPr>
        <w:t xml:space="preserve"> der Stellen oder </w:t>
      </w:r>
      <w:r w:rsidR="00806AD9">
        <w:rPr>
          <w:b/>
        </w:rPr>
        <w:t xml:space="preserve">ein </w:t>
      </w:r>
      <w:r>
        <w:rPr>
          <w:b/>
        </w:rPr>
        <w:t>Partner außerhalb der EU?</w:t>
      </w:r>
    </w:p>
    <w:p w14:paraId="36471902" w14:textId="13880485" w:rsidR="00D33529" w:rsidRDefault="00D33529">
      <w:pPr>
        <w:rPr>
          <w:b/>
        </w:rPr>
      </w:pPr>
      <w:r>
        <w:rPr>
          <w:b/>
        </w:rPr>
        <w:tab/>
      </w:r>
      <w:r>
        <w:rPr>
          <w:b/>
        </w:rPr>
        <w:tab/>
        <w:t>Wenn ja: In welchem Land?</w:t>
      </w:r>
    </w:p>
    <w:p w14:paraId="642220A8" w14:textId="41F9C6E7" w:rsidR="00364CB9" w:rsidRPr="00364CB9" w:rsidRDefault="00364CB9" w:rsidP="00364CB9">
      <w:pPr>
        <w:ind w:left="705"/>
        <w:rPr>
          <w:b/>
          <w:sz w:val="20"/>
          <w:szCs w:val="20"/>
        </w:rPr>
      </w:pPr>
      <w:r w:rsidRPr="00364CB9">
        <w:rPr>
          <w:b/>
          <w:color w:val="FF0000"/>
          <w:sz w:val="20"/>
          <w:szCs w:val="20"/>
        </w:rPr>
        <w:t>Hinweis: Besteht für dieses Land kein Angemessenheitsbeschluss muss hier eine erweiterte Prüfung durch den bDSB oder d</w:t>
      </w:r>
      <w:r w:rsidR="00490FF2">
        <w:rPr>
          <w:b/>
          <w:color w:val="FF0000"/>
          <w:sz w:val="20"/>
          <w:szCs w:val="20"/>
        </w:rPr>
        <w:t>ie Rechtsabteilung</w:t>
      </w:r>
      <w:r w:rsidRPr="00364CB9">
        <w:rPr>
          <w:b/>
          <w:color w:val="FF0000"/>
          <w:sz w:val="20"/>
          <w:szCs w:val="20"/>
        </w:rPr>
        <w:t xml:space="preserve"> erfolgen</w:t>
      </w:r>
    </w:p>
    <w:p w14:paraId="1202DCDB" w14:textId="210037F2" w:rsidR="00B3434B" w:rsidRDefault="00B3434B" w:rsidP="00B3434B">
      <w:pPr>
        <w:rPr>
          <w:b/>
        </w:rPr>
      </w:pPr>
    </w:p>
    <w:p w14:paraId="206EF1F1" w14:textId="6A6CDD4C" w:rsidR="00B3434B" w:rsidRPr="00364CB9" w:rsidRDefault="00B3434B" w:rsidP="00364CB9">
      <w:pPr>
        <w:pStyle w:val="Listenabsatz"/>
        <w:numPr>
          <w:ilvl w:val="0"/>
          <w:numId w:val="2"/>
        </w:numPr>
        <w:rPr>
          <w:b/>
        </w:rPr>
      </w:pPr>
      <w:r w:rsidRPr="00364CB9">
        <w:rPr>
          <w:b/>
        </w:rPr>
        <w:t>Werden die Daten an andere interne Stellen weitergegeben?</w:t>
      </w:r>
    </w:p>
    <w:p w14:paraId="099BCB99" w14:textId="01057BC0" w:rsidR="00B3434B" w:rsidRDefault="00B3434B" w:rsidP="00670147">
      <w:pPr>
        <w:ind w:left="360"/>
        <w:rPr>
          <w:b/>
        </w:rPr>
      </w:pPr>
      <w:r>
        <w:rPr>
          <w:b/>
        </w:rPr>
        <w:t>Wenn ja: erfolgt dies für die oben genannten Zwecke oder erfolgt dies für andere Zwecke</w:t>
      </w:r>
      <w:r w:rsidR="0014205E">
        <w:rPr>
          <w:b/>
        </w:rPr>
        <w:t xml:space="preserve">? </w:t>
      </w:r>
      <w:r w:rsidR="00364CB9" w:rsidRPr="00364CB9">
        <w:rPr>
          <w:b/>
          <w:color w:val="FF0000"/>
          <w:sz w:val="20"/>
          <w:szCs w:val="20"/>
        </w:rPr>
        <w:t xml:space="preserve">Hinweis: </w:t>
      </w:r>
      <w:r w:rsidR="0014205E" w:rsidRPr="00364CB9">
        <w:rPr>
          <w:b/>
          <w:color w:val="FF0000"/>
          <w:sz w:val="20"/>
          <w:szCs w:val="20"/>
        </w:rPr>
        <w:t xml:space="preserve">Wenn </w:t>
      </w:r>
      <w:r w:rsidR="00364CB9" w:rsidRPr="00364CB9">
        <w:rPr>
          <w:b/>
          <w:color w:val="FF0000"/>
          <w:sz w:val="20"/>
          <w:szCs w:val="20"/>
        </w:rPr>
        <w:t>ein anderer Zweck verfolgt wird</w:t>
      </w:r>
      <w:r w:rsidR="0014205E" w:rsidRPr="00364CB9">
        <w:rPr>
          <w:b/>
          <w:color w:val="FF0000"/>
          <w:sz w:val="20"/>
          <w:szCs w:val="20"/>
        </w:rPr>
        <w:t xml:space="preserve">, muss geprüft werden, ob die damit verbundene Zweckänderung mit dem Ursprungszweck vereinbar ist. Zudem </w:t>
      </w:r>
      <w:r w:rsidR="00BE1194" w:rsidRPr="00364CB9">
        <w:rPr>
          <w:b/>
          <w:color w:val="FF0000"/>
          <w:sz w:val="20"/>
          <w:szCs w:val="20"/>
        </w:rPr>
        <w:t xml:space="preserve">muss die andere interne Stelle </w:t>
      </w:r>
      <w:r w:rsidR="00364CB9" w:rsidRPr="00364CB9">
        <w:rPr>
          <w:b/>
          <w:color w:val="FF0000"/>
          <w:sz w:val="20"/>
          <w:szCs w:val="20"/>
        </w:rPr>
        <w:t>diese Verarbeitung beschreiben.</w:t>
      </w:r>
    </w:p>
    <w:p w14:paraId="57266830" w14:textId="51890E9F" w:rsidR="00727D95" w:rsidRDefault="00727D95" w:rsidP="00727D95">
      <w:pPr>
        <w:ind w:left="2124" w:firstLine="6"/>
        <w:rPr>
          <w:b/>
        </w:rPr>
      </w:pPr>
      <w:r>
        <w:rPr>
          <w:b/>
        </w:rPr>
        <w:tab/>
      </w:r>
      <w:r>
        <w:rPr>
          <w:b/>
        </w:rPr>
        <w:tab/>
      </w:r>
      <w:r>
        <w:rPr>
          <w:b/>
        </w:rPr>
        <w:tab/>
      </w:r>
    </w:p>
    <w:p w14:paraId="181DF223" w14:textId="0075EC4E" w:rsidR="00FA7253" w:rsidRPr="00364CB9" w:rsidRDefault="00FA7253" w:rsidP="00364CB9">
      <w:pPr>
        <w:pStyle w:val="Listenabsatz"/>
        <w:numPr>
          <w:ilvl w:val="0"/>
          <w:numId w:val="2"/>
        </w:numPr>
        <w:rPr>
          <w:b/>
        </w:rPr>
      </w:pPr>
      <w:r w:rsidRPr="00364CB9">
        <w:rPr>
          <w:b/>
        </w:rPr>
        <w:t>Erhalten Sie die Daten direkt von den betroffenen Personen oder erhalten Sie diese von einer internen oder externen Stelle?</w:t>
      </w:r>
    </w:p>
    <w:p w14:paraId="57DCA957" w14:textId="7DC0E050" w:rsidR="00FC6DD3" w:rsidRPr="00FC6DD3" w:rsidRDefault="00FC6DD3" w:rsidP="00670147">
      <w:pPr>
        <w:ind w:left="360"/>
        <w:rPr>
          <w:b/>
          <w:sz w:val="20"/>
          <w:szCs w:val="20"/>
        </w:rPr>
      </w:pPr>
      <w:r w:rsidRPr="00FC6DD3">
        <w:rPr>
          <w:b/>
          <w:color w:val="FF0000"/>
          <w:sz w:val="20"/>
          <w:szCs w:val="20"/>
        </w:rPr>
        <w:t>Hinweis: Bei einer internen Stelle muss geprüft werden, ob der gleiche Zweck verfolgt wird. Wird der gleiche Zweck verfolgt wurde die Verarbeitung gegebenenfalls schon durch die andere Stelle dokumentiert. Wenn nein, muss dies von der intern für die Verarbeitung verantwortlichen Stelle nachgeholt werden</w:t>
      </w:r>
    </w:p>
    <w:p w14:paraId="5BF9DBDF" w14:textId="56EBEB4C" w:rsidR="00FA7253" w:rsidRDefault="00FC6DD3" w:rsidP="00670147">
      <w:pPr>
        <w:ind w:left="360"/>
        <w:rPr>
          <w:b/>
          <w:color w:val="FF0000"/>
          <w:sz w:val="20"/>
          <w:szCs w:val="20"/>
        </w:rPr>
      </w:pPr>
      <w:r w:rsidRPr="00FC6DD3">
        <w:rPr>
          <w:b/>
          <w:color w:val="FF0000"/>
          <w:sz w:val="20"/>
          <w:szCs w:val="20"/>
        </w:rPr>
        <w:t>Hinweis: Bei einer externen Stelle muss der Betroffene im Rahmen der Informationspflichten spätestens</w:t>
      </w:r>
      <w:r>
        <w:rPr>
          <w:b/>
          <w:color w:val="FF0000"/>
          <w:sz w:val="20"/>
          <w:szCs w:val="20"/>
        </w:rPr>
        <w:t xml:space="preserve"> nach einem Monat </w:t>
      </w:r>
      <w:r w:rsidRPr="00FC6DD3">
        <w:rPr>
          <w:b/>
          <w:color w:val="FF0000"/>
          <w:sz w:val="20"/>
          <w:szCs w:val="20"/>
        </w:rPr>
        <w:t>darauf hingewiesen werden, woher seine Daten stammen</w:t>
      </w:r>
      <w:r>
        <w:rPr>
          <w:b/>
          <w:color w:val="FF0000"/>
          <w:sz w:val="20"/>
          <w:szCs w:val="20"/>
        </w:rPr>
        <w:t>. Ansonsten ist ihm dies schon früher mit der ersten Ansprache oder bei einer beabsichtigten Weiterübermittlung an Externe mitzuteilen.</w:t>
      </w:r>
    </w:p>
    <w:p w14:paraId="33AEA8D0" w14:textId="77777777" w:rsidR="00E06485" w:rsidRDefault="00E06485" w:rsidP="00670147">
      <w:pPr>
        <w:ind w:left="360"/>
        <w:rPr>
          <w:b/>
          <w:color w:val="FF0000"/>
          <w:sz w:val="20"/>
          <w:szCs w:val="20"/>
        </w:rPr>
      </w:pPr>
    </w:p>
    <w:p w14:paraId="361209AC" w14:textId="50C451B9" w:rsidR="00E06485" w:rsidRPr="00364CB9" w:rsidRDefault="00E06485" w:rsidP="00E06485">
      <w:pPr>
        <w:pStyle w:val="Listenabsatz"/>
        <w:numPr>
          <w:ilvl w:val="0"/>
          <w:numId w:val="2"/>
        </w:numPr>
        <w:rPr>
          <w:b/>
        </w:rPr>
      </w:pPr>
      <w:r>
        <w:rPr>
          <w:b/>
        </w:rPr>
        <w:t>Gibt es</w:t>
      </w:r>
      <w:r w:rsidRPr="00364CB9">
        <w:rPr>
          <w:b/>
        </w:rPr>
        <w:t xml:space="preserve"> feste Frist</w:t>
      </w:r>
      <w:r>
        <w:rPr>
          <w:b/>
        </w:rPr>
        <w:t>en</w:t>
      </w:r>
      <w:r w:rsidRPr="00364CB9">
        <w:rPr>
          <w:b/>
        </w:rPr>
        <w:t xml:space="preserve"> zur Löschung von personenbezogenen Daten oder zu deren Anonymisierung?</w:t>
      </w:r>
    </w:p>
    <w:p w14:paraId="3E210E1B" w14:textId="76FA4B22" w:rsidR="00E06485" w:rsidRDefault="00E06485" w:rsidP="00E06485">
      <w:pPr>
        <w:ind w:left="360"/>
        <w:rPr>
          <w:b/>
        </w:rPr>
      </w:pPr>
      <w:r>
        <w:rPr>
          <w:b/>
        </w:rPr>
        <w:t>Wenn nein: Unter welchen Umständen ist die Löschung/Anonymisierung vorgesehen.</w:t>
      </w:r>
    </w:p>
    <w:p w14:paraId="7B21614B" w14:textId="77777777" w:rsidR="00E06485" w:rsidRDefault="00E06485" w:rsidP="00E06485">
      <w:pPr>
        <w:ind w:left="360"/>
        <w:rPr>
          <w:b/>
        </w:rPr>
      </w:pPr>
    </w:p>
    <w:p w14:paraId="0107CB1B" w14:textId="77777777" w:rsidR="00E06485" w:rsidRDefault="00E06485" w:rsidP="00E06485">
      <w:pPr>
        <w:pStyle w:val="Listenabsatz"/>
        <w:numPr>
          <w:ilvl w:val="0"/>
          <w:numId w:val="2"/>
        </w:numPr>
        <w:rPr>
          <w:b/>
        </w:rPr>
      </w:pPr>
      <w:r>
        <w:rPr>
          <w:b/>
        </w:rPr>
        <w:t xml:space="preserve">Gibt es bereits einen Plan für den Fall, dass die Verarbeitung ganz eingestellt wird? Werden Daten noch für eine gewisse Zeit aufbewahrt? Erfolgt eine Bereinigung der zur Verarbeitung genutzten Systeme? </w:t>
      </w:r>
    </w:p>
    <w:p w14:paraId="5A36E3BC" w14:textId="61FB6173" w:rsidR="00D10D69" w:rsidRDefault="00D10D69" w:rsidP="00631CAE">
      <w:pPr>
        <w:rPr>
          <w:b/>
          <w:color w:val="FF0000"/>
          <w:sz w:val="20"/>
          <w:szCs w:val="20"/>
        </w:rPr>
      </w:pPr>
    </w:p>
    <w:p w14:paraId="03D66461" w14:textId="77777777" w:rsidR="00631CAE" w:rsidRDefault="00631CAE" w:rsidP="00631CAE">
      <w:pPr>
        <w:rPr>
          <w:b/>
          <w:color w:val="FF0000"/>
          <w:sz w:val="20"/>
          <w:szCs w:val="20"/>
        </w:rPr>
      </w:pPr>
    </w:p>
    <w:p w14:paraId="47B4B793" w14:textId="77777777" w:rsidR="00D10D69" w:rsidRDefault="00D10D69" w:rsidP="00E06485">
      <w:pPr>
        <w:ind w:left="360"/>
        <w:rPr>
          <w:b/>
          <w:color w:val="FF0000"/>
          <w:sz w:val="20"/>
          <w:szCs w:val="20"/>
        </w:rPr>
      </w:pPr>
    </w:p>
    <w:p w14:paraId="68C703B0" w14:textId="1E70B44A" w:rsidR="00E06485" w:rsidRPr="00D10D69" w:rsidRDefault="00D10D69" w:rsidP="00D10D69">
      <w:pPr>
        <w:rPr>
          <w:b/>
        </w:rPr>
      </w:pPr>
      <w:r w:rsidRPr="00D10D69">
        <w:rPr>
          <w:b/>
        </w:rPr>
        <w:lastRenderedPageBreak/>
        <w:t>Zweiter Abschnitt: Fragen zur Umsetzung der Betroffenenrechte</w:t>
      </w:r>
    </w:p>
    <w:p w14:paraId="46953079" w14:textId="6BE050EE" w:rsidR="00E06485" w:rsidRDefault="00E06485" w:rsidP="00E06485">
      <w:pPr>
        <w:pStyle w:val="Listenabsatz"/>
        <w:numPr>
          <w:ilvl w:val="0"/>
          <w:numId w:val="2"/>
        </w:numPr>
        <w:rPr>
          <w:b/>
        </w:rPr>
      </w:pPr>
      <w:r w:rsidRPr="00E06485">
        <w:rPr>
          <w:b/>
        </w:rPr>
        <w:t>Wie werden die Betroffenen an einer geeigneten Stelle über Zweck, Rechtsgrundlage, Umfang und Dauer der Verarbeitung ihrer Daten informiert?</w:t>
      </w:r>
    </w:p>
    <w:p w14:paraId="178DA8FC" w14:textId="30987C07" w:rsidR="00E06485" w:rsidRDefault="00E06485" w:rsidP="00E06485">
      <w:pPr>
        <w:pStyle w:val="Listenabsatz"/>
        <w:rPr>
          <w:b/>
        </w:rPr>
      </w:pPr>
    </w:p>
    <w:p w14:paraId="64DAE006" w14:textId="77777777" w:rsidR="00E06485" w:rsidRPr="00E06485" w:rsidRDefault="00E06485" w:rsidP="00E06485">
      <w:pPr>
        <w:pStyle w:val="Listenabsatz"/>
        <w:rPr>
          <w:b/>
        </w:rPr>
      </w:pPr>
    </w:p>
    <w:p w14:paraId="2B22FD05" w14:textId="77777777" w:rsidR="00E06485" w:rsidRDefault="00E06485" w:rsidP="00E06485">
      <w:pPr>
        <w:pStyle w:val="Listenabsatz"/>
        <w:numPr>
          <w:ilvl w:val="0"/>
          <w:numId w:val="2"/>
        </w:numPr>
        <w:rPr>
          <w:b/>
        </w:rPr>
      </w:pPr>
      <w:r>
        <w:rPr>
          <w:b/>
        </w:rPr>
        <w:t xml:space="preserve">Kann technisch oder manuell </w:t>
      </w:r>
      <w:r w:rsidRPr="00CF029D">
        <w:rPr>
          <w:b/>
        </w:rPr>
        <w:t xml:space="preserve">eine Kopie </w:t>
      </w:r>
      <w:r>
        <w:rPr>
          <w:b/>
        </w:rPr>
        <w:t>sämtlicher zu einer</w:t>
      </w:r>
      <w:r w:rsidRPr="00CF029D">
        <w:rPr>
          <w:b/>
        </w:rPr>
        <w:t xml:space="preserve"> Person gespeicherter Daten erzeugt werden?</w:t>
      </w:r>
      <w:r>
        <w:rPr>
          <w:b/>
        </w:rPr>
        <w:t xml:space="preserve"> In welchen Formaten ist dies möglich und wer von den Zugriffsberechtigten kann dies realisieren?</w:t>
      </w:r>
    </w:p>
    <w:p w14:paraId="78517251" w14:textId="77777777" w:rsidR="00E06485" w:rsidRPr="00CF029D" w:rsidRDefault="00E06485" w:rsidP="00E06485">
      <w:pPr>
        <w:ind w:left="360"/>
        <w:rPr>
          <w:b/>
          <w:color w:val="FF0000"/>
          <w:sz w:val="20"/>
          <w:szCs w:val="20"/>
        </w:rPr>
      </w:pPr>
      <w:r w:rsidRPr="00CF029D">
        <w:rPr>
          <w:b/>
          <w:color w:val="FF0000"/>
          <w:sz w:val="20"/>
          <w:szCs w:val="20"/>
        </w:rPr>
        <w:t>Hinweis</w:t>
      </w:r>
      <w:r>
        <w:rPr>
          <w:b/>
          <w:color w:val="FF0000"/>
          <w:sz w:val="20"/>
          <w:szCs w:val="20"/>
        </w:rPr>
        <w:t>: Dies dient der Prüfung, ob das Betroffenenrecht</w:t>
      </w:r>
      <w:r w:rsidRPr="00CF029D">
        <w:rPr>
          <w:b/>
          <w:color w:val="FF0000"/>
          <w:sz w:val="20"/>
          <w:szCs w:val="20"/>
        </w:rPr>
        <w:t xml:space="preserve"> auf Auskunf</w:t>
      </w:r>
      <w:r>
        <w:rPr>
          <w:b/>
          <w:color w:val="FF0000"/>
          <w:sz w:val="20"/>
          <w:szCs w:val="20"/>
        </w:rPr>
        <w:t>t</w:t>
      </w:r>
      <w:r w:rsidRPr="00CF029D">
        <w:rPr>
          <w:b/>
          <w:color w:val="FF0000"/>
          <w:sz w:val="20"/>
          <w:szCs w:val="20"/>
        </w:rPr>
        <w:t xml:space="preserve"> </w:t>
      </w:r>
      <w:r>
        <w:rPr>
          <w:b/>
          <w:color w:val="FF0000"/>
          <w:sz w:val="20"/>
          <w:szCs w:val="20"/>
        </w:rPr>
        <w:t>realisierbar ist.</w:t>
      </w:r>
    </w:p>
    <w:p w14:paraId="679B94E5" w14:textId="77777777" w:rsidR="00E06485" w:rsidRDefault="00E06485" w:rsidP="00E06485">
      <w:pPr>
        <w:pStyle w:val="Listenabsatz"/>
        <w:rPr>
          <w:b/>
        </w:rPr>
      </w:pPr>
    </w:p>
    <w:p w14:paraId="56ABFE9D" w14:textId="77777777" w:rsidR="00E06485" w:rsidRDefault="00E06485" w:rsidP="00E06485">
      <w:pPr>
        <w:pStyle w:val="Listenabsatz"/>
        <w:numPr>
          <w:ilvl w:val="0"/>
          <w:numId w:val="2"/>
        </w:numPr>
        <w:rPr>
          <w:b/>
        </w:rPr>
      </w:pPr>
      <w:r>
        <w:rPr>
          <w:b/>
        </w:rPr>
        <w:t>Können im Bedarfsfall Daten zu einer Person korrigiert werden? Wenn ja: Wer hat die Berechtigung zu Korrekturen?</w:t>
      </w:r>
    </w:p>
    <w:p w14:paraId="105D62D5" w14:textId="77777777" w:rsidR="00E06485" w:rsidRPr="00FC6DD3" w:rsidRDefault="00E06485" w:rsidP="00670147">
      <w:pPr>
        <w:ind w:left="360"/>
        <w:rPr>
          <w:b/>
          <w:sz w:val="20"/>
          <w:szCs w:val="20"/>
        </w:rPr>
      </w:pPr>
    </w:p>
    <w:p w14:paraId="1490B578" w14:textId="0E8E807B" w:rsidR="00E06485" w:rsidRDefault="00E06485" w:rsidP="00FA7253">
      <w:pPr>
        <w:rPr>
          <w:b/>
        </w:rPr>
      </w:pPr>
    </w:p>
    <w:p w14:paraId="0BE3B7E4" w14:textId="7EEFDA03" w:rsidR="00E06485" w:rsidRDefault="00D10D69" w:rsidP="00FA7253">
      <w:pPr>
        <w:rPr>
          <w:b/>
        </w:rPr>
      </w:pPr>
      <w:r>
        <w:rPr>
          <w:b/>
        </w:rPr>
        <w:t>Dritter Abschnitt: Fragen zu technischen und organisatorischen Sicherheitsmaßnahmen</w:t>
      </w:r>
    </w:p>
    <w:p w14:paraId="6CB0BB33" w14:textId="0CD0BEEE" w:rsidR="00FA7253" w:rsidRPr="00364CB9" w:rsidRDefault="00FA7253" w:rsidP="00364CB9">
      <w:pPr>
        <w:pStyle w:val="Listenabsatz"/>
        <w:numPr>
          <w:ilvl w:val="0"/>
          <w:numId w:val="2"/>
        </w:numPr>
        <w:rPr>
          <w:b/>
        </w:rPr>
      </w:pPr>
      <w:r w:rsidRPr="00364CB9">
        <w:rPr>
          <w:b/>
        </w:rPr>
        <w:t>Auf welchen Systemen und unter Verwendung welcher Programme werden die Daten gespeichert und zu den oben genannten Zwecken verarbeitet?</w:t>
      </w:r>
      <w:r w:rsidR="00B3434B" w:rsidRPr="00364CB9">
        <w:rPr>
          <w:b/>
        </w:rPr>
        <w:t xml:space="preserve"> Bitte beschreiben Sie dies mit eigenen Worten möglichst genau.</w:t>
      </w:r>
    </w:p>
    <w:p w14:paraId="647923FC" w14:textId="77777777" w:rsidR="00E00A2E" w:rsidRDefault="00E00A2E" w:rsidP="00FA7253">
      <w:pPr>
        <w:rPr>
          <w:b/>
        </w:rPr>
      </w:pPr>
    </w:p>
    <w:p w14:paraId="4C8B2E2C" w14:textId="6B5CF4B1" w:rsidR="00E00A2E" w:rsidRPr="00364CB9" w:rsidRDefault="00E00A2E" w:rsidP="00364CB9">
      <w:pPr>
        <w:pStyle w:val="Listenabsatz"/>
        <w:numPr>
          <w:ilvl w:val="0"/>
          <w:numId w:val="2"/>
        </w:numPr>
        <w:rPr>
          <w:b/>
        </w:rPr>
      </w:pPr>
      <w:r w:rsidRPr="00364CB9">
        <w:rPr>
          <w:b/>
        </w:rPr>
        <w:t>Werden Backups</w:t>
      </w:r>
      <w:r w:rsidR="008126AA">
        <w:rPr>
          <w:b/>
        </w:rPr>
        <w:t>/Sicherungen</w:t>
      </w:r>
      <w:r w:rsidRPr="00364CB9">
        <w:rPr>
          <w:b/>
        </w:rPr>
        <w:t xml:space="preserve"> erstellt?</w:t>
      </w:r>
    </w:p>
    <w:p w14:paraId="325171C1" w14:textId="528B9123" w:rsidR="008126AA" w:rsidRDefault="00E00A2E" w:rsidP="00FA7253">
      <w:pPr>
        <w:rPr>
          <w:b/>
        </w:rPr>
      </w:pPr>
      <w:r>
        <w:rPr>
          <w:b/>
        </w:rPr>
        <w:tab/>
        <w:t>Wenn ja: Wie lange werden diese aufbewahrt?</w:t>
      </w:r>
    </w:p>
    <w:p w14:paraId="4F4BC2DB" w14:textId="77777777" w:rsidR="00D10D69" w:rsidRDefault="00D10D69" w:rsidP="00FA7253">
      <w:pPr>
        <w:rPr>
          <w:b/>
        </w:rPr>
      </w:pPr>
    </w:p>
    <w:p w14:paraId="0CAFFCE8" w14:textId="6EA3C03B" w:rsidR="008126AA" w:rsidRDefault="00293516" w:rsidP="008126AA">
      <w:pPr>
        <w:pStyle w:val="Listenabsatz"/>
        <w:numPr>
          <w:ilvl w:val="0"/>
          <w:numId w:val="2"/>
        </w:numPr>
        <w:rPr>
          <w:b/>
        </w:rPr>
      </w:pPr>
      <w:r w:rsidRPr="00293516">
        <w:rPr>
          <w:b/>
        </w:rPr>
        <w:t>Wurden besondere Maßnahmen zur Sicherheit ergriffen?</w:t>
      </w:r>
      <w:r>
        <w:rPr>
          <w:b/>
        </w:rPr>
        <w:t xml:space="preserve"> </w:t>
      </w:r>
      <w:r w:rsidR="008126AA">
        <w:rPr>
          <w:b/>
        </w:rPr>
        <w:t>Bitte beschreib</w:t>
      </w:r>
      <w:r w:rsidR="00CF256F">
        <w:rPr>
          <w:b/>
        </w:rPr>
        <w:t>en Sie diese mit eigenen Worten. Sie können sich hierbei an den Beispielen in Anlage 1 orientieren.</w:t>
      </w:r>
    </w:p>
    <w:p w14:paraId="7451EB7D" w14:textId="05C40F61" w:rsidR="00E00A2E" w:rsidRDefault="00E00A2E" w:rsidP="00FA7253">
      <w:pPr>
        <w:rPr>
          <w:b/>
        </w:rPr>
      </w:pPr>
    </w:p>
    <w:p w14:paraId="4D8E9E2E" w14:textId="06BDF4C2" w:rsidR="00E00A2E" w:rsidRPr="00364CB9" w:rsidRDefault="00E00A2E" w:rsidP="00364CB9">
      <w:pPr>
        <w:pStyle w:val="Listenabsatz"/>
        <w:numPr>
          <w:ilvl w:val="0"/>
          <w:numId w:val="2"/>
        </w:numPr>
        <w:rPr>
          <w:b/>
        </w:rPr>
      </w:pPr>
      <w:r w:rsidRPr="00364CB9">
        <w:rPr>
          <w:b/>
        </w:rPr>
        <w:t>Welche Vorgänge werden automatisch oder manuell protokolliert und wie lange werden die Protokolle aufbewahrt?</w:t>
      </w:r>
    </w:p>
    <w:p w14:paraId="201B2B6C" w14:textId="2A216E6A" w:rsidR="007C785F" w:rsidRPr="007C785F" w:rsidRDefault="007C785F" w:rsidP="00670147">
      <w:pPr>
        <w:ind w:left="360"/>
        <w:rPr>
          <w:i/>
        </w:rPr>
      </w:pPr>
      <w:r w:rsidRPr="007C785F">
        <w:rPr>
          <w:i/>
        </w:rPr>
        <w:t>Beispiel: lesende, schreibende, ändernde Zugriffe w</w:t>
      </w:r>
      <w:r w:rsidR="00D43BB1">
        <w:rPr>
          <w:i/>
        </w:rPr>
        <w:t>erden für x</w:t>
      </w:r>
      <w:r w:rsidRPr="007C785F">
        <w:rPr>
          <w:i/>
        </w:rPr>
        <w:t xml:space="preserve"> Monate gespeichert, wobei die jeweils ältesten Protokolle überschrieben werden.</w:t>
      </w:r>
    </w:p>
    <w:p w14:paraId="1B2E7309" w14:textId="77777777" w:rsidR="00364CB9" w:rsidRDefault="00364CB9" w:rsidP="00364CB9">
      <w:pPr>
        <w:rPr>
          <w:b/>
        </w:rPr>
      </w:pPr>
    </w:p>
    <w:p w14:paraId="7BE5C8D1" w14:textId="37FFC132" w:rsidR="00E00A2E" w:rsidRDefault="00E00A2E" w:rsidP="00364CB9">
      <w:pPr>
        <w:ind w:firstLine="708"/>
        <w:rPr>
          <w:b/>
        </w:rPr>
      </w:pPr>
    </w:p>
    <w:p w14:paraId="77FE26A6" w14:textId="7F07D226" w:rsidR="00A5703E" w:rsidRDefault="00A5703E" w:rsidP="00A5703E">
      <w:pPr>
        <w:rPr>
          <w:b/>
        </w:rPr>
      </w:pPr>
    </w:p>
    <w:p w14:paraId="2835B739" w14:textId="77777777" w:rsidR="00000E3B" w:rsidRDefault="00000E3B" w:rsidP="00000E3B">
      <w:pPr>
        <w:pStyle w:val="Listenabsatz"/>
        <w:rPr>
          <w:b/>
        </w:rPr>
      </w:pPr>
    </w:p>
    <w:p w14:paraId="514F1E52" w14:textId="77777777" w:rsidR="00F01374" w:rsidRPr="00F01374" w:rsidRDefault="00F01374" w:rsidP="00F01374">
      <w:pPr>
        <w:pStyle w:val="Listenabsatz"/>
        <w:rPr>
          <w:b/>
        </w:rPr>
      </w:pPr>
    </w:p>
    <w:p w14:paraId="52603E9E" w14:textId="64D4A03E" w:rsidR="00F01374" w:rsidRDefault="00F01374" w:rsidP="00F01374">
      <w:pPr>
        <w:rPr>
          <w:b/>
        </w:rPr>
      </w:pPr>
    </w:p>
    <w:p w14:paraId="4C146614" w14:textId="459CFB43" w:rsidR="00F01374" w:rsidRDefault="00F01374" w:rsidP="00F01374">
      <w:pPr>
        <w:rPr>
          <w:b/>
        </w:rPr>
      </w:pPr>
    </w:p>
    <w:p w14:paraId="58B52C83" w14:textId="397974CF" w:rsidR="00F01374" w:rsidRDefault="00F01374" w:rsidP="00F01374">
      <w:pPr>
        <w:rPr>
          <w:b/>
        </w:rPr>
      </w:pPr>
    </w:p>
    <w:p w14:paraId="54D61CCB" w14:textId="425476C2" w:rsidR="00F01374" w:rsidRDefault="00F01374" w:rsidP="00F01374">
      <w:pPr>
        <w:pStyle w:val="berschrift2"/>
      </w:pPr>
      <w:r>
        <w:t xml:space="preserve">Anlage 1: </w:t>
      </w:r>
      <w:r w:rsidR="00CF256F">
        <w:t>Beispielhafte Nennung von Maßnahmen für die Sicherheit zur Beantwortung von Frage 1</w:t>
      </w:r>
      <w:r w:rsidR="00626F78">
        <w:t>8</w:t>
      </w:r>
    </w:p>
    <w:p w14:paraId="7C764FE8" w14:textId="77777777" w:rsidR="00F01374" w:rsidRPr="00F01374" w:rsidRDefault="00F01374" w:rsidP="00F01374"/>
    <w:p w14:paraId="1EA02712" w14:textId="4AFC870F" w:rsidR="00F01374" w:rsidRDefault="00F01374" w:rsidP="00F01374">
      <w:pPr>
        <w:pStyle w:val="berschrift2"/>
      </w:pPr>
      <w:r w:rsidRPr="0098675F">
        <w:t>Vertraulichkeit</w:t>
      </w:r>
      <w:r>
        <w:t xml:space="preserve"> (Art. 32 Abs. 1 lit. b DS-GVO)</w:t>
      </w:r>
    </w:p>
    <w:p w14:paraId="01078F72" w14:textId="77777777" w:rsidR="00F01374" w:rsidRDefault="00F01374" w:rsidP="00F01374">
      <w:pPr>
        <w:numPr>
          <w:ilvl w:val="0"/>
          <w:numId w:val="3"/>
        </w:numPr>
        <w:spacing w:after="0" w:line="240" w:lineRule="auto"/>
        <w:jc w:val="both"/>
      </w:pPr>
      <w:r>
        <w:t>Zutrittskontrolle</w:t>
      </w:r>
      <w:r>
        <w:br/>
        <w:t>Kein unbefugter Zutritt zu Datenverarbeitungsanlagen, z.B.: Magnet- oder Chipkarten, Schlüssel, elektrische Türöffner, Werkschutz bzw. Pförtner, Alarmanlagen, Videoanlagen;</w:t>
      </w:r>
    </w:p>
    <w:p w14:paraId="1A16BAD8" w14:textId="77777777" w:rsidR="00F01374" w:rsidRDefault="00F01374" w:rsidP="00F01374">
      <w:pPr>
        <w:numPr>
          <w:ilvl w:val="0"/>
          <w:numId w:val="3"/>
        </w:numPr>
        <w:spacing w:after="0" w:line="240" w:lineRule="auto"/>
        <w:jc w:val="both"/>
      </w:pPr>
      <w:r>
        <w:t>Zugangskontrolle</w:t>
      </w:r>
      <w:r>
        <w:br/>
        <w:t>Keine unbefugte Systembenutzung, z.B.: (sichere) Kennwörter, automatische Sperrmechanismen, Zwei-Faktor-Authentifizierung, Verschlüsselung von Datenträgern;</w:t>
      </w:r>
    </w:p>
    <w:p w14:paraId="750AAD4F" w14:textId="77777777" w:rsidR="00F01374" w:rsidRDefault="00F01374" w:rsidP="00F01374">
      <w:pPr>
        <w:numPr>
          <w:ilvl w:val="0"/>
          <w:numId w:val="3"/>
        </w:numPr>
        <w:spacing w:after="0" w:line="240" w:lineRule="auto"/>
        <w:jc w:val="both"/>
      </w:pPr>
      <w:r>
        <w:t>Zugriffskontrolle</w:t>
      </w:r>
      <w:r>
        <w:br/>
        <w:t>Kein unbefugtes Lesen, Kopieren, Verändern oder Entfernen innerhalb des Systems, z.B.: Berechtigungskonzepte und bedarfsgerechte Zugriffsrechte, Protokollierung von Zugriffen;</w:t>
      </w:r>
    </w:p>
    <w:p w14:paraId="35A7A7EC" w14:textId="77777777" w:rsidR="00F01374" w:rsidRDefault="00F01374" w:rsidP="00F01374">
      <w:pPr>
        <w:numPr>
          <w:ilvl w:val="0"/>
          <w:numId w:val="3"/>
        </w:numPr>
        <w:spacing w:after="0" w:line="240" w:lineRule="auto"/>
        <w:jc w:val="both"/>
      </w:pPr>
      <w:r>
        <w:t>Trennungskontrolle</w:t>
      </w:r>
      <w:r>
        <w:br/>
        <w:t>Getrennte Verarbeitung von Daten, die zu unterschiedlichen Zwecken erhoben wurden, z.B. Mandantenfähigkeit</w:t>
      </w:r>
    </w:p>
    <w:p w14:paraId="7BE1E079" w14:textId="77777777" w:rsidR="00F01374" w:rsidRDefault="00F01374" w:rsidP="00F01374">
      <w:pPr>
        <w:numPr>
          <w:ilvl w:val="0"/>
          <w:numId w:val="3"/>
        </w:numPr>
        <w:spacing w:after="0" w:line="240" w:lineRule="auto"/>
        <w:jc w:val="both"/>
      </w:pPr>
      <w:r>
        <w:t>Pseudonymisierung (Art. 32 Abs. 1 lit. a DS-GVO; Art. 25 Abs. 1 DS-GVO)</w:t>
      </w:r>
      <w: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14:paraId="236D76B3" w14:textId="77777777" w:rsidR="00F01374" w:rsidRDefault="00F01374" w:rsidP="00F01374"/>
    <w:p w14:paraId="396F6481" w14:textId="77777777" w:rsidR="00F01374" w:rsidRPr="0098675F" w:rsidRDefault="00F01374" w:rsidP="00F01374">
      <w:pPr>
        <w:pStyle w:val="berschrift2"/>
      </w:pPr>
      <w:r w:rsidRPr="0098675F">
        <w:t>Integrität (Art. 32 Abs. 1 lit. b DS-GVO)</w:t>
      </w:r>
    </w:p>
    <w:p w14:paraId="016F7A8A" w14:textId="77777777" w:rsidR="00F01374" w:rsidRDefault="00F01374" w:rsidP="00F01374">
      <w:pPr>
        <w:numPr>
          <w:ilvl w:val="0"/>
          <w:numId w:val="3"/>
        </w:numPr>
        <w:spacing w:after="0" w:line="240" w:lineRule="auto"/>
        <w:jc w:val="both"/>
      </w:pPr>
      <w:r>
        <w:t>Weitergabekontrolle</w:t>
      </w:r>
      <w:r>
        <w:br/>
        <w:t>Kein unbefugtes Lesen, Kopieren, Verändern oder Entfernen bei elektronischer Übertragung oder Transport, z.B.: Verschlüsselung, Virtual Private Networks (VPN), elektronische Signatur;</w:t>
      </w:r>
    </w:p>
    <w:p w14:paraId="2CBCB329" w14:textId="77777777" w:rsidR="00F01374" w:rsidRDefault="00F01374" w:rsidP="00F01374">
      <w:pPr>
        <w:numPr>
          <w:ilvl w:val="0"/>
          <w:numId w:val="3"/>
        </w:numPr>
        <w:spacing w:after="0" w:line="240" w:lineRule="auto"/>
        <w:jc w:val="both"/>
      </w:pPr>
      <w:r>
        <w:t>Eingabekontrolle</w:t>
      </w:r>
      <w:r>
        <w:br/>
        <w:t>Feststellung, ob und von wem personenbezogene Daten in Datenverarbeitungssysteme eingegeben, verändert oder entfernt worden sind, z.B.: Protokollierung, Dokumentenmanagement;</w:t>
      </w:r>
    </w:p>
    <w:p w14:paraId="5E31FA1F" w14:textId="77777777" w:rsidR="00F01374" w:rsidRDefault="00F01374" w:rsidP="00F01374">
      <w:pPr>
        <w:spacing w:after="0" w:line="240" w:lineRule="auto"/>
        <w:ind w:left="720"/>
        <w:jc w:val="both"/>
      </w:pPr>
    </w:p>
    <w:p w14:paraId="3E554E84" w14:textId="77777777" w:rsidR="00F01374" w:rsidRPr="0098675F" w:rsidRDefault="00F01374" w:rsidP="00F01374">
      <w:pPr>
        <w:pStyle w:val="berschrift2"/>
      </w:pPr>
      <w:r w:rsidRPr="0098675F">
        <w:t>Verfügbarkeit und Belastbarkeit (Art. 32 Abs. 1 lit. b DS-GVO)</w:t>
      </w:r>
    </w:p>
    <w:p w14:paraId="69B1F89D" w14:textId="77777777" w:rsidR="00F01374" w:rsidRDefault="00F01374" w:rsidP="00F01374">
      <w:pPr>
        <w:numPr>
          <w:ilvl w:val="0"/>
          <w:numId w:val="3"/>
        </w:numPr>
        <w:spacing w:after="0" w:line="240" w:lineRule="auto"/>
        <w:jc w:val="both"/>
      </w:pPr>
      <w:r>
        <w:t>Verfügbarkeitskontrolle</w:t>
      </w:r>
      <w:r>
        <w:br/>
        <w:t>Schutz gegen zufällige oder mutwillige Zerstörung bzw. Verlust, z.B.: Backup-Strategie (online/offline; on-site/off-site), unterbrechungsfreie Stromversorgung (USV), Virenschutz, Firewall, Meldewege und Notfallpläne;</w:t>
      </w:r>
    </w:p>
    <w:p w14:paraId="6B9B96FE" w14:textId="77777777" w:rsidR="00F01374" w:rsidRDefault="00F01374" w:rsidP="00F01374">
      <w:pPr>
        <w:numPr>
          <w:ilvl w:val="0"/>
          <w:numId w:val="3"/>
        </w:numPr>
        <w:spacing w:after="0" w:line="240" w:lineRule="auto"/>
        <w:jc w:val="both"/>
      </w:pPr>
      <w:r>
        <w:t>Rasche Wiederherstellbarkeit (Art. 32 Abs. 1 lit. c DS-GVO);</w:t>
      </w:r>
    </w:p>
    <w:p w14:paraId="7F1589A6" w14:textId="784E9F96" w:rsidR="00F01374" w:rsidRPr="00F01374" w:rsidRDefault="00F01374" w:rsidP="00F01374">
      <w:pPr>
        <w:rPr>
          <w:b/>
        </w:rPr>
      </w:pPr>
    </w:p>
    <w:p w14:paraId="4A719AE7" w14:textId="035059E0" w:rsidR="00A5703E" w:rsidRDefault="00A5703E" w:rsidP="00364CB9">
      <w:pPr>
        <w:ind w:firstLine="708"/>
        <w:rPr>
          <w:b/>
        </w:rPr>
      </w:pPr>
    </w:p>
    <w:p w14:paraId="3C94A491" w14:textId="2D7A1F61" w:rsidR="00A5703E" w:rsidRDefault="00A5703E" w:rsidP="00364CB9">
      <w:pPr>
        <w:ind w:firstLine="708"/>
        <w:rPr>
          <w:b/>
        </w:rPr>
      </w:pPr>
    </w:p>
    <w:p w14:paraId="41128868" w14:textId="77777777" w:rsidR="00A5703E" w:rsidRDefault="00A5703E" w:rsidP="00364CB9">
      <w:pPr>
        <w:ind w:firstLine="708"/>
        <w:rPr>
          <w:b/>
        </w:rPr>
      </w:pPr>
    </w:p>
    <w:p w14:paraId="04DAA2FB" w14:textId="7F1F99EA" w:rsidR="00364CB9" w:rsidRDefault="00364CB9" w:rsidP="00364CB9">
      <w:pPr>
        <w:rPr>
          <w:b/>
        </w:rPr>
      </w:pPr>
    </w:p>
    <w:p w14:paraId="11B2AD68" w14:textId="0EB32196" w:rsidR="00B3434B" w:rsidRDefault="00B3434B" w:rsidP="00FA7253">
      <w:pPr>
        <w:rPr>
          <w:b/>
        </w:rPr>
      </w:pPr>
    </w:p>
    <w:p w14:paraId="697DCAA5" w14:textId="64A02E94" w:rsidR="0037472A" w:rsidRPr="00E16F71" w:rsidRDefault="0037472A" w:rsidP="00000E3B"/>
    <w:sectPr w:rsidR="0037472A" w:rsidRPr="00E16F71" w:rsidSect="00526E04">
      <w:footerReference w:type="defaul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79317" w14:textId="77777777" w:rsidR="002E1543" w:rsidRDefault="002E1543" w:rsidP="00850248">
      <w:pPr>
        <w:spacing w:after="0" w:line="240" w:lineRule="auto"/>
      </w:pPr>
      <w:r>
        <w:separator/>
      </w:r>
    </w:p>
  </w:endnote>
  <w:endnote w:type="continuationSeparator" w:id="0">
    <w:p w14:paraId="6922C5D2" w14:textId="77777777" w:rsidR="002E1543" w:rsidRDefault="002E1543" w:rsidP="0085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35D20" w14:textId="6F3A0554" w:rsidR="00526E04" w:rsidRDefault="00526E04">
    <w:pPr>
      <w:pStyle w:val="Fuzeile"/>
    </w:pPr>
    <w:r w:rsidRPr="00710558">
      <w:t xml:space="preserve">Erstellt von der NRW Projektgruppe „EU-DSGVO – Datenschutzmanagementsysteme“ 2018 </w:t>
    </w:r>
    <w:r w:rsidRPr="00710558">
      <w:tab/>
    </w:r>
    <w:r w:rsidRPr="00682DC4">
      <w:rPr>
        <w:noProof/>
        <w:lang w:eastAsia="de-DE"/>
      </w:rPr>
      <w:drawing>
        <wp:inline distT="0" distB="0" distL="0" distR="0" wp14:anchorId="285019BC" wp14:editId="23F8014A">
          <wp:extent cx="436728" cy="153848"/>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1D335" w14:textId="590C775A" w:rsidR="00526E04" w:rsidRDefault="00526E04">
    <w:pPr>
      <w:pStyle w:val="Fuzeile"/>
    </w:pPr>
    <w:r w:rsidRPr="00710558">
      <w:t xml:space="preserve">Erstellt von der NRW Projektgruppe „EU-DSGVO – Datenschutzmanagementsysteme“ 2018 </w:t>
    </w:r>
    <w:r w:rsidRPr="00710558">
      <w:tab/>
    </w:r>
    <w:r w:rsidRPr="00682DC4">
      <w:rPr>
        <w:noProof/>
        <w:lang w:eastAsia="de-DE"/>
      </w:rPr>
      <w:drawing>
        <wp:inline distT="0" distB="0" distL="0" distR="0" wp14:anchorId="596A09B0" wp14:editId="54027C74">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D6293" w14:textId="77777777" w:rsidR="002E1543" w:rsidRDefault="002E1543" w:rsidP="00850248">
      <w:pPr>
        <w:spacing w:after="0" w:line="240" w:lineRule="auto"/>
      </w:pPr>
      <w:r>
        <w:separator/>
      </w:r>
    </w:p>
  </w:footnote>
  <w:footnote w:type="continuationSeparator" w:id="0">
    <w:p w14:paraId="7337B8A0" w14:textId="77777777" w:rsidR="002E1543" w:rsidRDefault="002E1543" w:rsidP="00850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71A3"/>
    <w:multiLevelType w:val="hybridMultilevel"/>
    <w:tmpl w:val="037C0456"/>
    <w:lvl w:ilvl="0" w:tplc="0407000F">
      <w:start w:val="1"/>
      <w:numFmt w:val="decimal"/>
      <w:lvlText w:val="%1."/>
      <w:lvlJc w:val="left"/>
      <w:pPr>
        <w:ind w:left="720" w:hanging="360"/>
      </w:pPr>
    </w:lvl>
    <w:lvl w:ilvl="1" w:tplc="9B964964">
      <w:start w:val="1"/>
      <w:numFmt w:val="lowerLetter"/>
      <w:lvlText w:val="%2."/>
      <w:lvlJc w:val="left"/>
      <w:pPr>
        <w:ind w:left="1440" w:hanging="360"/>
      </w:pPr>
      <w:rPr>
        <w:strike w:val="0"/>
        <w:color w:val="FF0000"/>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68C4DDE"/>
    <w:multiLevelType w:val="hybridMultilevel"/>
    <w:tmpl w:val="460EDED4"/>
    <w:lvl w:ilvl="0" w:tplc="901CFDDC">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0BC75A9"/>
    <w:multiLevelType w:val="multilevel"/>
    <w:tmpl w:val="266415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E1D5007"/>
    <w:multiLevelType w:val="hybridMultilevel"/>
    <w:tmpl w:val="BF48B4B6"/>
    <w:lvl w:ilvl="0" w:tplc="9452A7E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83"/>
    <w:rsid w:val="00000E3B"/>
    <w:rsid w:val="000316D0"/>
    <w:rsid w:val="00031E32"/>
    <w:rsid w:val="00061487"/>
    <w:rsid w:val="00072E3B"/>
    <w:rsid w:val="00095227"/>
    <w:rsid w:val="000C3F11"/>
    <w:rsid w:val="000C78E0"/>
    <w:rsid w:val="00101601"/>
    <w:rsid w:val="001152D7"/>
    <w:rsid w:val="00133DCD"/>
    <w:rsid w:val="0014205E"/>
    <w:rsid w:val="00145DE3"/>
    <w:rsid w:val="001B1A54"/>
    <w:rsid w:val="001B31B8"/>
    <w:rsid w:val="001D6C36"/>
    <w:rsid w:val="001D6DF3"/>
    <w:rsid w:val="002419ED"/>
    <w:rsid w:val="002727B9"/>
    <w:rsid w:val="00293516"/>
    <w:rsid w:val="002B2A32"/>
    <w:rsid w:val="002E1543"/>
    <w:rsid w:val="00302E48"/>
    <w:rsid w:val="00320B59"/>
    <w:rsid w:val="00337D05"/>
    <w:rsid w:val="00351E8E"/>
    <w:rsid w:val="00364CB9"/>
    <w:rsid w:val="0037472A"/>
    <w:rsid w:val="00381EB1"/>
    <w:rsid w:val="0039242E"/>
    <w:rsid w:val="003A0930"/>
    <w:rsid w:val="003C20EC"/>
    <w:rsid w:val="003D33A2"/>
    <w:rsid w:val="003E386E"/>
    <w:rsid w:val="003F12B3"/>
    <w:rsid w:val="0040365F"/>
    <w:rsid w:val="004134AD"/>
    <w:rsid w:val="00434EBE"/>
    <w:rsid w:val="00490FF2"/>
    <w:rsid w:val="004A3B85"/>
    <w:rsid w:val="005148CA"/>
    <w:rsid w:val="00517584"/>
    <w:rsid w:val="005268FB"/>
    <w:rsid w:val="00526E04"/>
    <w:rsid w:val="005327E0"/>
    <w:rsid w:val="005456ED"/>
    <w:rsid w:val="005704D9"/>
    <w:rsid w:val="005C2FF5"/>
    <w:rsid w:val="005C3AB2"/>
    <w:rsid w:val="005D46CA"/>
    <w:rsid w:val="00603813"/>
    <w:rsid w:val="00605687"/>
    <w:rsid w:val="00626F78"/>
    <w:rsid w:val="006272C2"/>
    <w:rsid w:val="00631CAE"/>
    <w:rsid w:val="00632C97"/>
    <w:rsid w:val="00670147"/>
    <w:rsid w:val="0067656E"/>
    <w:rsid w:val="00727D95"/>
    <w:rsid w:val="00736C89"/>
    <w:rsid w:val="00795383"/>
    <w:rsid w:val="007960BB"/>
    <w:rsid w:val="007B5441"/>
    <w:rsid w:val="007C785F"/>
    <w:rsid w:val="00806AD9"/>
    <w:rsid w:val="0081240E"/>
    <w:rsid w:val="008126AA"/>
    <w:rsid w:val="00823325"/>
    <w:rsid w:val="00833082"/>
    <w:rsid w:val="008411A1"/>
    <w:rsid w:val="00850248"/>
    <w:rsid w:val="008809AA"/>
    <w:rsid w:val="00883051"/>
    <w:rsid w:val="00884C61"/>
    <w:rsid w:val="00900E06"/>
    <w:rsid w:val="00902D9F"/>
    <w:rsid w:val="0091407B"/>
    <w:rsid w:val="00934E10"/>
    <w:rsid w:val="00936172"/>
    <w:rsid w:val="00941EB7"/>
    <w:rsid w:val="009438F4"/>
    <w:rsid w:val="009674D8"/>
    <w:rsid w:val="009A1E98"/>
    <w:rsid w:val="009B65C8"/>
    <w:rsid w:val="009D4B94"/>
    <w:rsid w:val="009E6021"/>
    <w:rsid w:val="00A23685"/>
    <w:rsid w:val="00A5703E"/>
    <w:rsid w:val="00A62CAB"/>
    <w:rsid w:val="00A81796"/>
    <w:rsid w:val="00AB743C"/>
    <w:rsid w:val="00B3271B"/>
    <w:rsid w:val="00B3434B"/>
    <w:rsid w:val="00B572B1"/>
    <w:rsid w:val="00B664DC"/>
    <w:rsid w:val="00B82648"/>
    <w:rsid w:val="00BA2D14"/>
    <w:rsid w:val="00BB1F64"/>
    <w:rsid w:val="00BE1194"/>
    <w:rsid w:val="00C04DA2"/>
    <w:rsid w:val="00C15A17"/>
    <w:rsid w:val="00C26BBF"/>
    <w:rsid w:val="00C60398"/>
    <w:rsid w:val="00C643EA"/>
    <w:rsid w:val="00C75BB7"/>
    <w:rsid w:val="00CF029D"/>
    <w:rsid w:val="00CF256F"/>
    <w:rsid w:val="00CF3BCA"/>
    <w:rsid w:val="00CF6C90"/>
    <w:rsid w:val="00D04BB4"/>
    <w:rsid w:val="00D051FD"/>
    <w:rsid w:val="00D10D69"/>
    <w:rsid w:val="00D27FEE"/>
    <w:rsid w:val="00D33529"/>
    <w:rsid w:val="00D43BB1"/>
    <w:rsid w:val="00D5207A"/>
    <w:rsid w:val="00D8625E"/>
    <w:rsid w:val="00D86E77"/>
    <w:rsid w:val="00D9140D"/>
    <w:rsid w:val="00DE2675"/>
    <w:rsid w:val="00DF2131"/>
    <w:rsid w:val="00E00A2E"/>
    <w:rsid w:val="00E06485"/>
    <w:rsid w:val="00E16F71"/>
    <w:rsid w:val="00E9512A"/>
    <w:rsid w:val="00EE2904"/>
    <w:rsid w:val="00F01374"/>
    <w:rsid w:val="00F23050"/>
    <w:rsid w:val="00F44291"/>
    <w:rsid w:val="00F535D2"/>
    <w:rsid w:val="00F57A79"/>
    <w:rsid w:val="00F779D5"/>
    <w:rsid w:val="00F97F64"/>
    <w:rsid w:val="00FA7253"/>
    <w:rsid w:val="00FC6DD3"/>
    <w:rsid w:val="00FD53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6353"/>
  <w15:docId w15:val="{70D77259-0E7B-4B77-92E4-7A7CE10E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qFormat/>
    <w:rsid w:val="00F01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7D05"/>
    <w:pPr>
      <w:ind w:left="720"/>
      <w:contextualSpacing/>
    </w:pPr>
  </w:style>
  <w:style w:type="character" w:styleId="Kommentarzeichen">
    <w:name w:val="annotation reference"/>
    <w:basedOn w:val="Absatz-Standardschriftart"/>
    <w:uiPriority w:val="99"/>
    <w:semiHidden/>
    <w:unhideWhenUsed/>
    <w:rsid w:val="009D4B94"/>
    <w:rPr>
      <w:sz w:val="16"/>
      <w:szCs w:val="16"/>
    </w:rPr>
  </w:style>
  <w:style w:type="paragraph" w:styleId="Kommentartext">
    <w:name w:val="annotation text"/>
    <w:basedOn w:val="Standard"/>
    <w:link w:val="KommentartextZchn"/>
    <w:uiPriority w:val="99"/>
    <w:semiHidden/>
    <w:unhideWhenUsed/>
    <w:rsid w:val="009D4B9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D4B94"/>
    <w:rPr>
      <w:sz w:val="20"/>
      <w:szCs w:val="20"/>
    </w:rPr>
  </w:style>
  <w:style w:type="paragraph" w:styleId="Kommentarthema">
    <w:name w:val="annotation subject"/>
    <w:basedOn w:val="Kommentartext"/>
    <w:next w:val="Kommentartext"/>
    <w:link w:val="KommentarthemaZchn"/>
    <w:uiPriority w:val="99"/>
    <w:semiHidden/>
    <w:unhideWhenUsed/>
    <w:rsid w:val="009D4B94"/>
    <w:rPr>
      <w:b/>
      <w:bCs/>
    </w:rPr>
  </w:style>
  <w:style w:type="character" w:customStyle="1" w:styleId="KommentarthemaZchn">
    <w:name w:val="Kommentarthema Zchn"/>
    <w:basedOn w:val="KommentartextZchn"/>
    <w:link w:val="Kommentarthema"/>
    <w:uiPriority w:val="99"/>
    <w:semiHidden/>
    <w:rsid w:val="009D4B94"/>
    <w:rPr>
      <w:b/>
      <w:bCs/>
      <w:sz w:val="20"/>
      <w:szCs w:val="20"/>
    </w:rPr>
  </w:style>
  <w:style w:type="paragraph" w:styleId="Sprechblasentext">
    <w:name w:val="Balloon Text"/>
    <w:basedOn w:val="Standard"/>
    <w:link w:val="SprechblasentextZchn"/>
    <w:uiPriority w:val="99"/>
    <w:semiHidden/>
    <w:unhideWhenUsed/>
    <w:rsid w:val="009D4B9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4B94"/>
    <w:rPr>
      <w:rFonts w:ascii="Segoe UI" w:hAnsi="Segoe UI" w:cs="Segoe UI"/>
      <w:sz w:val="18"/>
      <w:szCs w:val="18"/>
    </w:rPr>
  </w:style>
  <w:style w:type="paragraph" w:styleId="Kopfzeile">
    <w:name w:val="header"/>
    <w:basedOn w:val="Standard"/>
    <w:link w:val="KopfzeileZchn"/>
    <w:uiPriority w:val="99"/>
    <w:unhideWhenUsed/>
    <w:rsid w:val="008502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0248"/>
  </w:style>
  <w:style w:type="paragraph" w:styleId="Fuzeile">
    <w:name w:val="footer"/>
    <w:basedOn w:val="Standard"/>
    <w:link w:val="FuzeileZchn"/>
    <w:uiPriority w:val="99"/>
    <w:unhideWhenUsed/>
    <w:rsid w:val="008502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0248"/>
  </w:style>
  <w:style w:type="character" w:customStyle="1" w:styleId="berschrift2Zchn">
    <w:name w:val="Überschrift 2 Zchn"/>
    <w:basedOn w:val="Absatz-Standardschriftart"/>
    <w:link w:val="berschrift2"/>
    <w:rsid w:val="00F0137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C5FD70-754C-41FD-A368-F08286C239F1}">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2F689AC3-CCFF-470A-8A11-27C906199DBE}">
  <ds:schemaRefs>
    <ds:schemaRef ds:uri="http://schemas.microsoft.com/sharepoint/v3/contenttype/forms"/>
  </ds:schemaRefs>
</ds:datastoreItem>
</file>

<file path=customXml/itemProps3.xml><?xml version="1.0" encoding="utf-8"?>
<ds:datastoreItem xmlns:ds="http://schemas.openxmlformats.org/officeDocument/2006/customXml" ds:itemID="{871233B2-8F9D-4CEE-9670-8ED8BAE0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6534</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Gerdes (DFN-CERT)</dc:creator>
  <cp:lastModifiedBy>Birgit Schmahlenberg</cp:lastModifiedBy>
  <cp:revision>2</cp:revision>
  <dcterms:created xsi:type="dcterms:W3CDTF">2019-02-28T10:21:00Z</dcterms:created>
  <dcterms:modified xsi:type="dcterms:W3CDTF">2019-02-28T10:21:00Z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